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9">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02674A60" w14:textId="67C19722" w:rsidR="00E352AA" w:rsidRDefault="00E352AA" w:rsidP="000610AD">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0610AD">
        <w:rPr>
          <w:b/>
          <w:bCs/>
          <w:i/>
          <w:iCs/>
          <w:color w:val="000000"/>
        </w:rPr>
        <w:t xml:space="preserve">            </w:t>
      </w:r>
      <w:r w:rsidR="005803AD">
        <w:rPr>
          <w:b/>
          <w:bCs/>
          <w:i/>
          <w:iCs/>
          <w:color w:val="000000"/>
        </w:rPr>
        <w:t xml:space="preserve"> </w:t>
      </w:r>
      <w:r w:rsidR="00CF0209" w:rsidRPr="007E469E">
        <w:rPr>
          <w:b/>
          <w:bCs/>
          <w:i/>
          <w:iCs/>
          <w:color w:val="000000"/>
        </w:rPr>
        <w:t>20</w:t>
      </w:r>
      <w:r w:rsidR="00F60ECD">
        <w:rPr>
          <w:b/>
          <w:bCs/>
          <w:i/>
          <w:iCs/>
          <w:color w:val="000000"/>
        </w:rPr>
        <w:t>2</w:t>
      </w:r>
      <w:r w:rsidR="00E104D6">
        <w:rPr>
          <w:b/>
          <w:bCs/>
          <w:i/>
          <w:iCs/>
          <w:color w:val="000000"/>
        </w:rPr>
        <w:t>1</w:t>
      </w:r>
      <w:r w:rsidR="00CF0209" w:rsidRPr="007E469E">
        <w:rPr>
          <w:b/>
          <w:bCs/>
          <w:i/>
          <w:iCs/>
          <w:color w:val="000000"/>
        </w:rPr>
        <w:t xml:space="preserve"> r.</w:t>
      </w:r>
    </w:p>
    <w:p w14:paraId="23E5EE10" w14:textId="77777777" w:rsidR="00F146DA" w:rsidRDefault="00F146DA" w:rsidP="000610AD">
      <w:pPr>
        <w:autoSpaceDE w:val="0"/>
        <w:autoSpaceDN w:val="0"/>
        <w:adjustRightInd w:val="0"/>
        <w:spacing w:after="120" w:line="240" w:lineRule="atLeast"/>
        <w:ind w:left="1"/>
        <w:jc w:val="center"/>
        <w:rPr>
          <w:b/>
          <w:bCs/>
          <w:i/>
          <w:iCs/>
          <w:color w:val="000000"/>
        </w:rPr>
      </w:pPr>
    </w:p>
    <w:p w14:paraId="46EAA9E3" w14:textId="77777777" w:rsidR="00F146DA" w:rsidRDefault="00F146DA" w:rsidP="000610AD">
      <w:pPr>
        <w:autoSpaceDE w:val="0"/>
        <w:autoSpaceDN w:val="0"/>
        <w:adjustRightInd w:val="0"/>
        <w:spacing w:after="120" w:line="240" w:lineRule="atLeast"/>
        <w:ind w:left="1"/>
        <w:jc w:val="center"/>
        <w:rPr>
          <w:b/>
          <w:bCs/>
          <w:i/>
          <w:iCs/>
          <w:color w:val="000000"/>
        </w:rPr>
      </w:pPr>
    </w:p>
    <w:p w14:paraId="33844DA5" w14:textId="77777777" w:rsidR="00F146DA" w:rsidRPr="007E469E" w:rsidRDefault="00F146DA" w:rsidP="000610AD">
      <w:pPr>
        <w:autoSpaceDE w:val="0"/>
        <w:autoSpaceDN w:val="0"/>
        <w:adjustRightInd w:val="0"/>
        <w:spacing w:after="120" w:line="240" w:lineRule="atLeast"/>
        <w:ind w:left="1"/>
        <w:jc w:val="center"/>
      </w:pPr>
      <w:bookmarkStart w:id="10" w:name="_GoBack"/>
      <w:bookmarkEnd w:id="10"/>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248868B" w14:textId="77777777" w:rsidR="000610AD"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80890065" w:history="1">
            <w:r w:rsidR="000610AD" w:rsidRPr="00DA3FFE">
              <w:rPr>
                <w:rStyle w:val="Hipercze"/>
              </w:rPr>
              <w:t>1.</w:t>
            </w:r>
            <w:r w:rsidR="000610AD">
              <w:rPr>
                <w:rFonts w:asciiTheme="minorHAnsi" w:hAnsiTheme="minorHAnsi" w:cstheme="minorBidi"/>
                <w:b w:val="0"/>
              </w:rPr>
              <w:tab/>
            </w:r>
            <w:r w:rsidR="000610AD" w:rsidRPr="00DA3FFE">
              <w:rPr>
                <w:rStyle w:val="Hipercze"/>
              </w:rPr>
              <w:t>Rozdział - Słowniczek pojęć</w:t>
            </w:r>
            <w:r w:rsidR="000610AD">
              <w:rPr>
                <w:webHidden/>
              </w:rPr>
              <w:tab/>
            </w:r>
            <w:r w:rsidR="000610AD">
              <w:rPr>
                <w:webHidden/>
              </w:rPr>
              <w:fldChar w:fldCharType="begin"/>
            </w:r>
            <w:r w:rsidR="000610AD">
              <w:rPr>
                <w:webHidden/>
              </w:rPr>
              <w:instrText xml:space="preserve"> PAGEREF _Toc80890065 \h </w:instrText>
            </w:r>
            <w:r w:rsidR="000610AD">
              <w:rPr>
                <w:webHidden/>
              </w:rPr>
            </w:r>
            <w:r w:rsidR="000610AD">
              <w:rPr>
                <w:webHidden/>
              </w:rPr>
              <w:fldChar w:fldCharType="separate"/>
            </w:r>
            <w:r w:rsidR="000610AD">
              <w:rPr>
                <w:webHidden/>
              </w:rPr>
              <w:t>5</w:t>
            </w:r>
            <w:r w:rsidR="000610AD">
              <w:rPr>
                <w:webHidden/>
              </w:rPr>
              <w:fldChar w:fldCharType="end"/>
            </w:r>
          </w:hyperlink>
        </w:p>
        <w:p w14:paraId="435E675A" w14:textId="77777777" w:rsidR="000610AD" w:rsidRDefault="000610AD">
          <w:pPr>
            <w:pStyle w:val="Spistreci1"/>
            <w:rPr>
              <w:rFonts w:asciiTheme="minorHAnsi" w:hAnsiTheme="minorHAnsi" w:cstheme="minorBidi"/>
              <w:b w:val="0"/>
            </w:rPr>
          </w:pPr>
          <w:hyperlink w:anchor="_Toc80890066" w:history="1">
            <w:r w:rsidRPr="00DA3FFE">
              <w:rPr>
                <w:rStyle w:val="Hipercze"/>
              </w:rPr>
              <w:t>2.</w:t>
            </w:r>
            <w:r>
              <w:rPr>
                <w:rFonts w:asciiTheme="minorHAnsi" w:hAnsiTheme="minorHAnsi" w:cstheme="minorBidi"/>
                <w:b w:val="0"/>
              </w:rPr>
              <w:tab/>
            </w:r>
            <w:r w:rsidRPr="00DA3FFE">
              <w:rPr>
                <w:rStyle w:val="Hipercze"/>
              </w:rPr>
              <w:t xml:space="preserve">Rozdział - Cel, zakres oraz obowiązywanie </w:t>
            </w:r>
            <w:r w:rsidRPr="00DA3FFE">
              <w:rPr>
                <w:rStyle w:val="Hipercze"/>
                <w:i/>
              </w:rPr>
              <w:t>Katalogu</w:t>
            </w:r>
            <w:r>
              <w:rPr>
                <w:webHidden/>
              </w:rPr>
              <w:tab/>
            </w:r>
            <w:r>
              <w:rPr>
                <w:webHidden/>
              </w:rPr>
              <w:fldChar w:fldCharType="begin"/>
            </w:r>
            <w:r>
              <w:rPr>
                <w:webHidden/>
              </w:rPr>
              <w:instrText xml:space="preserve"> PAGEREF _Toc80890066 \h </w:instrText>
            </w:r>
            <w:r>
              <w:rPr>
                <w:webHidden/>
              </w:rPr>
            </w:r>
            <w:r>
              <w:rPr>
                <w:webHidden/>
              </w:rPr>
              <w:fldChar w:fldCharType="separate"/>
            </w:r>
            <w:r>
              <w:rPr>
                <w:webHidden/>
              </w:rPr>
              <w:t>12</w:t>
            </w:r>
            <w:r>
              <w:rPr>
                <w:webHidden/>
              </w:rPr>
              <w:fldChar w:fldCharType="end"/>
            </w:r>
          </w:hyperlink>
        </w:p>
        <w:p w14:paraId="17AFADE8" w14:textId="77777777" w:rsidR="000610AD" w:rsidRDefault="000610AD">
          <w:pPr>
            <w:pStyle w:val="Spistreci1"/>
            <w:rPr>
              <w:rFonts w:asciiTheme="minorHAnsi" w:hAnsiTheme="minorHAnsi" w:cstheme="minorBidi"/>
              <w:b w:val="0"/>
            </w:rPr>
          </w:pPr>
          <w:hyperlink w:anchor="_Toc80890067" w:history="1">
            <w:r w:rsidRPr="00DA3FFE">
              <w:rPr>
                <w:rStyle w:val="Hipercze"/>
              </w:rPr>
              <w:t>3.</w:t>
            </w:r>
            <w:r>
              <w:rPr>
                <w:rFonts w:asciiTheme="minorHAnsi" w:hAnsiTheme="minorHAnsi" w:cstheme="minorBidi"/>
                <w:b w:val="0"/>
              </w:rPr>
              <w:tab/>
            </w:r>
            <w:r w:rsidRPr="00DA3FFE">
              <w:rPr>
                <w:rStyle w:val="Hipercze"/>
              </w:rPr>
              <w:t>Rozdział - Wspólne warunki i procedury w zakresie kwalifikowalności wydatków</w:t>
            </w:r>
            <w:r>
              <w:rPr>
                <w:webHidden/>
              </w:rPr>
              <w:tab/>
            </w:r>
            <w:r>
              <w:rPr>
                <w:webHidden/>
              </w:rPr>
              <w:fldChar w:fldCharType="begin"/>
            </w:r>
            <w:r>
              <w:rPr>
                <w:webHidden/>
              </w:rPr>
              <w:instrText xml:space="preserve"> PAGEREF _Toc80890067 \h </w:instrText>
            </w:r>
            <w:r>
              <w:rPr>
                <w:webHidden/>
              </w:rPr>
            </w:r>
            <w:r>
              <w:rPr>
                <w:webHidden/>
              </w:rPr>
              <w:fldChar w:fldCharType="separate"/>
            </w:r>
            <w:r>
              <w:rPr>
                <w:webHidden/>
              </w:rPr>
              <w:t>13</w:t>
            </w:r>
            <w:r>
              <w:rPr>
                <w:webHidden/>
              </w:rPr>
              <w:fldChar w:fldCharType="end"/>
            </w:r>
          </w:hyperlink>
        </w:p>
        <w:p w14:paraId="49AF5853" w14:textId="77777777" w:rsidR="000610AD" w:rsidRDefault="000610AD">
          <w:pPr>
            <w:pStyle w:val="Spistreci2"/>
            <w:tabs>
              <w:tab w:val="left" w:pos="880"/>
              <w:tab w:val="right" w:leader="dot" w:pos="9062"/>
            </w:tabs>
            <w:rPr>
              <w:noProof/>
            </w:rPr>
          </w:pPr>
          <w:hyperlink w:anchor="_Toc80890068" w:history="1">
            <w:r w:rsidRPr="00DA3FFE">
              <w:rPr>
                <w:rStyle w:val="Hipercze"/>
                <w:rFonts w:ascii="Arial" w:hAnsi="Arial" w:cs="Arial"/>
                <w:i/>
                <w:noProof/>
              </w:rPr>
              <w:t>3.1</w:t>
            </w:r>
            <w:r>
              <w:rPr>
                <w:noProof/>
              </w:rPr>
              <w:tab/>
            </w:r>
            <w:r w:rsidRPr="00DA3FFE">
              <w:rPr>
                <w:rStyle w:val="Hipercze"/>
                <w:rFonts w:ascii="Arial" w:hAnsi="Arial" w:cs="Arial"/>
                <w:i/>
                <w:noProof/>
              </w:rPr>
              <w:t>Ocena kwalifikowalności wydatku.</w:t>
            </w:r>
            <w:r>
              <w:rPr>
                <w:noProof/>
                <w:webHidden/>
              </w:rPr>
              <w:tab/>
            </w:r>
            <w:r>
              <w:rPr>
                <w:noProof/>
                <w:webHidden/>
              </w:rPr>
              <w:fldChar w:fldCharType="begin"/>
            </w:r>
            <w:r>
              <w:rPr>
                <w:noProof/>
                <w:webHidden/>
              </w:rPr>
              <w:instrText xml:space="preserve"> PAGEREF _Toc80890068 \h </w:instrText>
            </w:r>
            <w:r>
              <w:rPr>
                <w:noProof/>
                <w:webHidden/>
              </w:rPr>
            </w:r>
            <w:r>
              <w:rPr>
                <w:noProof/>
                <w:webHidden/>
              </w:rPr>
              <w:fldChar w:fldCharType="separate"/>
            </w:r>
            <w:r>
              <w:rPr>
                <w:noProof/>
                <w:webHidden/>
              </w:rPr>
              <w:t>13</w:t>
            </w:r>
            <w:r>
              <w:rPr>
                <w:noProof/>
                <w:webHidden/>
              </w:rPr>
              <w:fldChar w:fldCharType="end"/>
            </w:r>
          </w:hyperlink>
        </w:p>
        <w:p w14:paraId="66DC4716" w14:textId="77777777" w:rsidR="000610AD" w:rsidRDefault="000610AD">
          <w:pPr>
            <w:pStyle w:val="Spistreci2"/>
            <w:tabs>
              <w:tab w:val="left" w:pos="880"/>
              <w:tab w:val="right" w:leader="dot" w:pos="9062"/>
            </w:tabs>
            <w:rPr>
              <w:noProof/>
            </w:rPr>
          </w:pPr>
          <w:hyperlink w:anchor="_Toc80890069" w:history="1">
            <w:r w:rsidRPr="00DA3FFE">
              <w:rPr>
                <w:rStyle w:val="Hipercze"/>
                <w:rFonts w:ascii="Arial" w:hAnsi="Arial" w:cs="Arial"/>
                <w:i/>
                <w:noProof/>
              </w:rPr>
              <w:t>3.2</w:t>
            </w:r>
            <w:r>
              <w:rPr>
                <w:noProof/>
              </w:rPr>
              <w:tab/>
            </w:r>
            <w:r w:rsidRPr="00DA3FFE">
              <w:rPr>
                <w:rStyle w:val="Hipercze"/>
                <w:rFonts w:ascii="Arial" w:hAnsi="Arial" w:cs="Arial"/>
                <w:i/>
                <w:noProof/>
              </w:rPr>
              <w:t>Zasada faktycznego poniesienia wydatku</w:t>
            </w:r>
            <w:r>
              <w:rPr>
                <w:noProof/>
                <w:webHidden/>
              </w:rPr>
              <w:tab/>
            </w:r>
            <w:r>
              <w:rPr>
                <w:noProof/>
                <w:webHidden/>
              </w:rPr>
              <w:fldChar w:fldCharType="begin"/>
            </w:r>
            <w:r>
              <w:rPr>
                <w:noProof/>
                <w:webHidden/>
              </w:rPr>
              <w:instrText xml:space="preserve"> PAGEREF _Toc80890069 \h </w:instrText>
            </w:r>
            <w:r>
              <w:rPr>
                <w:noProof/>
                <w:webHidden/>
              </w:rPr>
            </w:r>
            <w:r>
              <w:rPr>
                <w:noProof/>
                <w:webHidden/>
              </w:rPr>
              <w:fldChar w:fldCharType="separate"/>
            </w:r>
            <w:r>
              <w:rPr>
                <w:noProof/>
                <w:webHidden/>
              </w:rPr>
              <w:t>13</w:t>
            </w:r>
            <w:r>
              <w:rPr>
                <w:noProof/>
                <w:webHidden/>
              </w:rPr>
              <w:fldChar w:fldCharType="end"/>
            </w:r>
          </w:hyperlink>
        </w:p>
        <w:p w14:paraId="2B9FF627" w14:textId="77777777" w:rsidR="000610AD" w:rsidRDefault="000610AD">
          <w:pPr>
            <w:pStyle w:val="Spistreci2"/>
            <w:tabs>
              <w:tab w:val="left" w:pos="880"/>
              <w:tab w:val="right" w:leader="dot" w:pos="9062"/>
            </w:tabs>
            <w:rPr>
              <w:noProof/>
            </w:rPr>
          </w:pPr>
          <w:hyperlink w:anchor="_Toc80890070" w:history="1">
            <w:r w:rsidRPr="00DA3FFE">
              <w:rPr>
                <w:rStyle w:val="Hipercze"/>
                <w:rFonts w:ascii="Arial" w:hAnsi="Arial" w:cs="Arial"/>
                <w:i/>
                <w:noProof/>
              </w:rPr>
              <w:t>3.3</w:t>
            </w:r>
            <w:r>
              <w:rPr>
                <w:noProof/>
              </w:rPr>
              <w:tab/>
            </w:r>
            <w:r w:rsidRPr="00DA3FFE">
              <w:rPr>
                <w:rStyle w:val="Hipercze"/>
                <w:rFonts w:ascii="Arial" w:hAnsi="Arial" w:cs="Arial"/>
                <w:i/>
                <w:noProof/>
              </w:rPr>
              <w:t>Warunki oraz okres kwalifikowania wydatków w projektach podlegających zasadom pomocy publicznej</w:t>
            </w:r>
            <w:r>
              <w:rPr>
                <w:noProof/>
                <w:webHidden/>
              </w:rPr>
              <w:tab/>
            </w:r>
            <w:r>
              <w:rPr>
                <w:noProof/>
                <w:webHidden/>
              </w:rPr>
              <w:fldChar w:fldCharType="begin"/>
            </w:r>
            <w:r>
              <w:rPr>
                <w:noProof/>
                <w:webHidden/>
              </w:rPr>
              <w:instrText xml:space="preserve"> PAGEREF _Toc80890070 \h </w:instrText>
            </w:r>
            <w:r>
              <w:rPr>
                <w:noProof/>
                <w:webHidden/>
              </w:rPr>
            </w:r>
            <w:r>
              <w:rPr>
                <w:noProof/>
                <w:webHidden/>
              </w:rPr>
              <w:fldChar w:fldCharType="separate"/>
            </w:r>
            <w:r>
              <w:rPr>
                <w:noProof/>
                <w:webHidden/>
              </w:rPr>
              <w:t>20</w:t>
            </w:r>
            <w:r>
              <w:rPr>
                <w:noProof/>
                <w:webHidden/>
              </w:rPr>
              <w:fldChar w:fldCharType="end"/>
            </w:r>
          </w:hyperlink>
        </w:p>
        <w:p w14:paraId="32B303DF" w14:textId="77777777" w:rsidR="000610AD" w:rsidRDefault="000610AD">
          <w:pPr>
            <w:pStyle w:val="Spistreci2"/>
            <w:tabs>
              <w:tab w:val="left" w:pos="880"/>
              <w:tab w:val="right" w:leader="dot" w:pos="9062"/>
            </w:tabs>
            <w:rPr>
              <w:noProof/>
            </w:rPr>
          </w:pPr>
          <w:hyperlink w:anchor="_Toc80890071" w:history="1">
            <w:r w:rsidRPr="00DA3FFE">
              <w:rPr>
                <w:rStyle w:val="Hipercze"/>
                <w:rFonts w:ascii="Arial" w:hAnsi="Arial" w:cs="Arial"/>
                <w:i/>
                <w:noProof/>
              </w:rPr>
              <w:t>3.4</w:t>
            </w:r>
            <w:r>
              <w:rPr>
                <w:noProof/>
              </w:rPr>
              <w:tab/>
            </w:r>
            <w:r w:rsidRPr="00DA3FFE">
              <w:rPr>
                <w:rStyle w:val="Hipercze"/>
                <w:rFonts w:ascii="Arial" w:hAnsi="Arial" w:cs="Arial"/>
                <w:i/>
                <w:noProof/>
              </w:rPr>
              <w:t>Zamówienia udzielane w projektach</w:t>
            </w:r>
            <w:r>
              <w:rPr>
                <w:noProof/>
                <w:webHidden/>
              </w:rPr>
              <w:tab/>
            </w:r>
            <w:r>
              <w:rPr>
                <w:noProof/>
                <w:webHidden/>
              </w:rPr>
              <w:fldChar w:fldCharType="begin"/>
            </w:r>
            <w:r>
              <w:rPr>
                <w:noProof/>
                <w:webHidden/>
              </w:rPr>
              <w:instrText xml:space="preserve"> PAGEREF _Toc80890071 \h </w:instrText>
            </w:r>
            <w:r>
              <w:rPr>
                <w:noProof/>
                <w:webHidden/>
              </w:rPr>
            </w:r>
            <w:r>
              <w:rPr>
                <w:noProof/>
                <w:webHidden/>
              </w:rPr>
              <w:fldChar w:fldCharType="separate"/>
            </w:r>
            <w:r>
              <w:rPr>
                <w:noProof/>
                <w:webHidden/>
              </w:rPr>
              <w:t>24</w:t>
            </w:r>
            <w:r>
              <w:rPr>
                <w:noProof/>
                <w:webHidden/>
              </w:rPr>
              <w:fldChar w:fldCharType="end"/>
            </w:r>
          </w:hyperlink>
        </w:p>
        <w:p w14:paraId="18A8435A" w14:textId="77777777" w:rsidR="000610AD" w:rsidRDefault="000610AD">
          <w:pPr>
            <w:pStyle w:val="Spistreci2"/>
            <w:tabs>
              <w:tab w:val="left" w:pos="880"/>
              <w:tab w:val="right" w:leader="dot" w:pos="9062"/>
            </w:tabs>
            <w:rPr>
              <w:noProof/>
            </w:rPr>
          </w:pPr>
          <w:hyperlink w:anchor="_Toc80890072" w:history="1">
            <w:r w:rsidRPr="00DA3FFE">
              <w:rPr>
                <w:rStyle w:val="Hipercze"/>
                <w:rFonts w:ascii="Arial" w:hAnsi="Arial" w:cs="Arial"/>
                <w:i/>
                <w:noProof/>
              </w:rPr>
              <w:t>3.5</w:t>
            </w:r>
            <w:r>
              <w:rPr>
                <w:noProof/>
              </w:rPr>
              <w:tab/>
            </w:r>
            <w:r w:rsidRPr="00DA3FFE">
              <w:rPr>
                <w:rStyle w:val="Hipercze"/>
                <w:rFonts w:ascii="Arial" w:hAnsi="Arial" w:cs="Arial"/>
                <w:i/>
                <w:noProof/>
              </w:rPr>
              <w:t>Leasing</w:t>
            </w:r>
            <w:r>
              <w:rPr>
                <w:noProof/>
                <w:webHidden/>
              </w:rPr>
              <w:tab/>
            </w:r>
            <w:r>
              <w:rPr>
                <w:noProof/>
                <w:webHidden/>
              </w:rPr>
              <w:fldChar w:fldCharType="begin"/>
            </w:r>
            <w:r>
              <w:rPr>
                <w:noProof/>
                <w:webHidden/>
              </w:rPr>
              <w:instrText xml:space="preserve"> PAGEREF _Toc80890072 \h </w:instrText>
            </w:r>
            <w:r>
              <w:rPr>
                <w:noProof/>
                <w:webHidden/>
              </w:rPr>
            </w:r>
            <w:r>
              <w:rPr>
                <w:noProof/>
                <w:webHidden/>
              </w:rPr>
              <w:fldChar w:fldCharType="separate"/>
            </w:r>
            <w:r>
              <w:rPr>
                <w:noProof/>
                <w:webHidden/>
              </w:rPr>
              <w:t>24</w:t>
            </w:r>
            <w:r>
              <w:rPr>
                <w:noProof/>
                <w:webHidden/>
              </w:rPr>
              <w:fldChar w:fldCharType="end"/>
            </w:r>
          </w:hyperlink>
        </w:p>
        <w:p w14:paraId="0A2C9629" w14:textId="77777777" w:rsidR="000610AD" w:rsidRDefault="000610AD">
          <w:pPr>
            <w:pStyle w:val="Spistreci2"/>
            <w:tabs>
              <w:tab w:val="left" w:pos="880"/>
              <w:tab w:val="right" w:leader="dot" w:pos="9062"/>
            </w:tabs>
            <w:rPr>
              <w:noProof/>
            </w:rPr>
          </w:pPr>
          <w:hyperlink w:anchor="_Toc80890073" w:history="1">
            <w:r w:rsidRPr="00DA3FFE">
              <w:rPr>
                <w:rStyle w:val="Hipercze"/>
                <w:rFonts w:ascii="Arial" w:hAnsi="Arial" w:cs="Arial"/>
                <w:i/>
                <w:noProof/>
              </w:rPr>
              <w:t>3.6</w:t>
            </w:r>
            <w:r>
              <w:rPr>
                <w:noProof/>
              </w:rPr>
              <w:tab/>
            </w:r>
            <w:r w:rsidRPr="00DA3FFE">
              <w:rPr>
                <w:rStyle w:val="Hipercze"/>
                <w:rFonts w:ascii="Arial" w:hAnsi="Arial" w:cs="Arial"/>
                <w:i/>
                <w:noProof/>
              </w:rPr>
              <w:t>Projekty generujące dochód po zakończeniu realizacji projektów</w:t>
            </w:r>
            <w:r>
              <w:rPr>
                <w:noProof/>
                <w:webHidden/>
              </w:rPr>
              <w:tab/>
            </w:r>
            <w:r>
              <w:rPr>
                <w:noProof/>
                <w:webHidden/>
              </w:rPr>
              <w:fldChar w:fldCharType="begin"/>
            </w:r>
            <w:r>
              <w:rPr>
                <w:noProof/>
                <w:webHidden/>
              </w:rPr>
              <w:instrText xml:space="preserve"> PAGEREF _Toc80890073 \h </w:instrText>
            </w:r>
            <w:r>
              <w:rPr>
                <w:noProof/>
                <w:webHidden/>
              </w:rPr>
            </w:r>
            <w:r>
              <w:rPr>
                <w:noProof/>
                <w:webHidden/>
              </w:rPr>
              <w:fldChar w:fldCharType="separate"/>
            </w:r>
            <w:r>
              <w:rPr>
                <w:noProof/>
                <w:webHidden/>
              </w:rPr>
              <w:t>25</w:t>
            </w:r>
            <w:r>
              <w:rPr>
                <w:noProof/>
                <w:webHidden/>
              </w:rPr>
              <w:fldChar w:fldCharType="end"/>
            </w:r>
          </w:hyperlink>
        </w:p>
        <w:p w14:paraId="6B895ACA" w14:textId="77777777" w:rsidR="000610AD" w:rsidRDefault="000610AD">
          <w:pPr>
            <w:pStyle w:val="Spistreci2"/>
            <w:tabs>
              <w:tab w:val="left" w:pos="880"/>
              <w:tab w:val="right" w:leader="dot" w:pos="9062"/>
            </w:tabs>
            <w:rPr>
              <w:noProof/>
            </w:rPr>
          </w:pPr>
          <w:hyperlink w:anchor="_Toc80890074" w:history="1">
            <w:r w:rsidRPr="00DA3FFE">
              <w:rPr>
                <w:rStyle w:val="Hipercze"/>
                <w:rFonts w:ascii="Arial" w:hAnsi="Arial" w:cs="Arial"/>
                <w:i/>
                <w:noProof/>
              </w:rPr>
              <w:t>3.7</w:t>
            </w:r>
            <w:r>
              <w:rPr>
                <w:noProof/>
              </w:rPr>
              <w:tab/>
            </w:r>
            <w:r w:rsidRPr="00DA3FFE">
              <w:rPr>
                <w:rStyle w:val="Hipercze"/>
                <w:rFonts w:ascii="Arial" w:hAnsi="Arial" w:cs="Arial"/>
                <w:i/>
                <w:noProof/>
              </w:rPr>
              <w:t>Kwalifikowalność podatku VAT i innych podatków, opłat i obciążeń</w:t>
            </w:r>
            <w:r>
              <w:rPr>
                <w:noProof/>
                <w:webHidden/>
              </w:rPr>
              <w:tab/>
            </w:r>
            <w:r>
              <w:rPr>
                <w:noProof/>
                <w:webHidden/>
              </w:rPr>
              <w:fldChar w:fldCharType="begin"/>
            </w:r>
            <w:r>
              <w:rPr>
                <w:noProof/>
                <w:webHidden/>
              </w:rPr>
              <w:instrText xml:space="preserve"> PAGEREF _Toc80890074 \h </w:instrText>
            </w:r>
            <w:r>
              <w:rPr>
                <w:noProof/>
                <w:webHidden/>
              </w:rPr>
            </w:r>
            <w:r>
              <w:rPr>
                <w:noProof/>
                <w:webHidden/>
              </w:rPr>
              <w:fldChar w:fldCharType="separate"/>
            </w:r>
            <w:r>
              <w:rPr>
                <w:noProof/>
                <w:webHidden/>
              </w:rPr>
              <w:t>25</w:t>
            </w:r>
            <w:r>
              <w:rPr>
                <w:noProof/>
                <w:webHidden/>
              </w:rPr>
              <w:fldChar w:fldCharType="end"/>
            </w:r>
          </w:hyperlink>
        </w:p>
        <w:p w14:paraId="0F6CE48E" w14:textId="77777777" w:rsidR="000610AD" w:rsidRDefault="000610AD">
          <w:pPr>
            <w:pStyle w:val="Spistreci2"/>
            <w:tabs>
              <w:tab w:val="left" w:pos="880"/>
              <w:tab w:val="right" w:leader="dot" w:pos="9062"/>
            </w:tabs>
            <w:rPr>
              <w:noProof/>
            </w:rPr>
          </w:pPr>
          <w:hyperlink w:anchor="_Toc80890075" w:history="1">
            <w:r w:rsidRPr="00DA3FFE">
              <w:rPr>
                <w:rStyle w:val="Hipercze"/>
                <w:rFonts w:ascii="Arial" w:hAnsi="Arial" w:cs="Arial"/>
                <w:i/>
                <w:noProof/>
              </w:rPr>
              <w:t>3.8</w:t>
            </w:r>
            <w:r>
              <w:rPr>
                <w:noProof/>
              </w:rPr>
              <w:tab/>
            </w:r>
            <w:r w:rsidRPr="00DA3FFE">
              <w:rPr>
                <w:rStyle w:val="Hipercze"/>
                <w:rFonts w:ascii="Arial" w:hAnsi="Arial" w:cs="Arial"/>
                <w:i/>
                <w:noProof/>
              </w:rPr>
              <w:t>Duży projekt – zasady identyfikacji</w:t>
            </w:r>
            <w:r>
              <w:rPr>
                <w:noProof/>
                <w:webHidden/>
              </w:rPr>
              <w:tab/>
            </w:r>
            <w:r>
              <w:rPr>
                <w:noProof/>
                <w:webHidden/>
              </w:rPr>
              <w:fldChar w:fldCharType="begin"/>
            </w:r>
            <w:r>
              <w:rPr>
                <w:noProof/>
                <w:webHidden/>
              </w:rPr>
              <w:instrText xml:space="preserve"> PAGEREF _Toc80890075 \h </w:instrText>
            </w:r>
            <w:r>
              <w:rPr>
                <w:noProof/>
                <w:webHidden/>
              </w:rPr>
            </w:r>
            <w:r>
              <w:rPr>
                <w:noProof/>
                <w:webHidden/>
              </w:rPr>
              <w:fldChar w:fldCharType="separate"/>
            </w:r>
            <w:r>
              <w:rPr>
                <w:noProof/>
                <w:webHidden/>
              </w:rPr>
              <w:t>25</w:t>
            </w:r>
            <w:r>
              <w:rPr>
                <w:noProof/>
                <w:webHidden/>
              </w:rPr>
              <w:fldChar w:fldCharType="end"/>
            </w:r>
          </w:hyperlink>
        </w:p>
        <w:p w14:paraId="5F88E816" w14:textId="77777777" w:rsidR="000610AD" w:rsidRDefault="000610AD">
          <w:pPr>
            <w:pStyle w:val="Spistreci2"/>
            <w:tabs>
              <w:tab w:val="left" w:pos="880"/>
              <w:tab w:val="right" w:leader="dot" w:pos="9062"/>
            </w:tabs>
            <w:rPr>
              <w:noProof/>
            </w:rPr>
          </w:pPr>
          <w:hyperlink w:anchor="_Toc80890076" w:history="1">
            <w:r w:rsidRPr="00DA3FFE">
              <w:rPr>
                <w:rStyle w:val="Hipercze"/>
                <w:rFonts w:ascii="Arial" w:hAnsi="Arial" w:cs="Arial"/>
                <w:i/>
                <w:noProof/>
              </w:rPr>
              <w:t>3.9</w:t>
            </w:r>
            <w:r>
              <w:rPr>
                <w:noProof/>
              </w:rPr>
              <w:tab/>
            </w:r>
            <w:r w:rsidRPr="00DA3FFE">
              <w:rPr>
                <w:rStyle w:val="Hipercze"/>
                <w:rFonts w:ascii="Arial" w:hAnsi="Arial" w:cs="Arial"/>
                <w:i/>
                <w:noProof/>
              </w:rPr>
              <w:t>Podmiot dokonujący wydatków kwalifikowalnych</w:t>
            </w:r>
            <w:r>
              <w:rPr>
                <w:noProof/>
                <w:webHidden/>
              </w:rPr>
              <w:tab/>
            </w:r>
            <w:r>
              <w:rPr>
                <w:noProof/>
                <w:webHidden/>
              </w:rPr>
              <w:fldChar w:fldCharType="begin"/>
            </w:r>
            <w:r>
              <w:rPr>
                <w:noProof/>
                <w:webHidden/>
              </w:rPr>
              <w:instrText xml:space="preserve"> PAGEREF _Toc80890076 \h </w:instrText>
            </w:r>
            <w:r>
              <w:rPr>
                <w:noProof/>
                <w:webHidden/>
              </w:rPr>
            </w:r>
            <w:r>
              <w:rPr>
                <w:noProof/>
                <w:webHidden/>
              </w:rPr>
              <w:fldChar w:fldCharType="separate"/>
            </w:r>
            <w:r>
              <w:rPr>
                <w:noProof/>
                <w:webHidden/>
              </w:rPr>
              <w:t>26</w:t>
            </w:r>
            <w:r>
              <w:rPr>
                <w:noProof/>
                <w:webHidden/>
              </w:rPr>
              <w:fldChar w:fldCharType="end"/>
            </w:r>
          </w:hyperlink>
        </w:p>
        <w:p w14:paraId="223C7F4B" w14:textId="77777777" w:rsidR="000610AD" w:rsidRDefault="000610AD">
          <w:pPr>
            <w:pStyle w:val="Spistreci2"/>
            <w:tabs>
              <w:tab w:val="left" w:pos="880"/>
              <w:tab w:val="right" w:leader="dot" w:pos="9062"/>
            </w:tabs>
            <w:rPr>
              <w:noProof/>
            </w:rPr>
          </w:pPr>
          <w:hyperlink w:anchor="_Toc80890077" w:history="1">
            <w:r w:rsidRPr="00DA3FFE">
              <w:rPr>
                <w:rStyle w:val="Hipercze"/>
                <w:rFonts w:ascii="Arial" w:hAnsi="Arial" w:cs="Arial"/>
                <w:i/>
                <w:noProof/>
              </w:rPr>
              <w:t>3.10</w:t>
            </w:r>
            <w:r>
              <w:rPr>
                <w:noProof/>
              </w:rPr>
              <w:tab/>
            </w:r>
            <w:r w:rsidRPr="00DA3FFE">
              <w:rPr>
                <w:rStyle w:val="Hipercze"/>
                <w:rFonts w:ascii="Arial" w:hAnsi="Arial" w:cs="Arial"/>
                <w:i/>
                <w:noProof/>
              </w:rPr>
              <w:t>Podmiot na rzecz którego ponoszone są wydatki kwalifikowalne</w:t>
            </w:r>
            <w:r>
              <w:rPr>
                <w:noProof/>
                <w:webHidden/>
              </w:rPr>
              <w:tab/>
            </w:r>
            <w:r>
              <w:rPr>
                <w:noProof/>
                <w:webHidden/>
              </w:rPr>
              <w:fldChar w:fldCharType="begin"/>
            </w:r>
            <w:r>
              <w:rPr>
                <w:noProof/>
                <w:webHidden/>
              </w:rPr>
              <w:instrText xml:space="preserve"> PAGEREF _Toc80890077 \h </w:instrText>
            </w:r>
            <w:r>
              <w:rPr>
                <w:noProof/>
                <w:webHidden/>
              </w:rPr>
            </w:r>
            <w:r>
              <w:rPr>
                <w:noProof/>
                <w:webHidden/>
              </w:rPr>
              <w:fldChar w:fldCharType="separate"/>
            </w:r>
            <w:r>
              <w:rPr>
                <w:noProof/>
                <w:webHidden/>
              </w:rPr>
              <w:t>28</w:t>
            </w:r>
            <w:r>
              <w:rPr>
                <w:noProof/>
                <w:webHidden/>
              </w:rPr>
              <w:fldChar w:fldCharType="end"/>
            </w:r>
          </w:hyperlink>
        </w:p>
        <w:p w14:paraId="05EC17EC" w14:textId="77777777" w:rsidR="000610AD" w:rsidRDefault="000610AD">
          <w:pPr>
            <w:pStyle w:val="Spistreci2"/>
            <w:tabs>
              <w:tab w:val="left" w:pos="880"/>
              <w:tab w:val="right" w:leader="dot" w:pos="9062"/>
            </w:tabs>
            <w:rPr>
              <w:noProof/>
            </w:rPr>
          </w:pPr>
          <w:hyperlink w:anchor="_Toc80890078" w:history="1">
            <w:r w:rsidRPr="00DA3FFE">
              <w:rPr>
                <w:rStyle w:val="Hipercze"/>
                <w:rFonts w:ascii="Arial" w:eastAsia="Times New Roman" w:hAnsi="Arial" w:cs="Arial"/>
                <w:noProof/>
              </w:rPr>
              <w:t>3.11</w:t>
            </w:r>
            <w:r>
              <w:rPr>
                <w:noProof/>
              </w:rPr>
              <w:tab/>
            </w:r>
            <w:r w:rsidRPr="00DA3FFE">
              <w:rPr>
                <w:rStyle w:val="Hipercze"/>
                <w:rFonts w:ascii="Arial" w:eastAsia="Times New Roman" w:hAnsi="Arial" w:cs="Arial"/>
                <w:noProof/>
              </w:rPr>
              <w:t>Projekty grantowe</w:t>
            </w:r>
            <w:r>
              <w:rPr>
                <w:noProof/>
                <w:webHidden/>
              </w:rPr>
              <w:tab/>
            </w:r>
            <w:r>
              <w:rPr>
                <w:noProof/>
                <w:webHidden/>
              </w:rPr>
              <w:fldChar w:fldCharType="begin"/>
            </w:r>
            <w:r>
              <w:rPr>
                <w:noProof/>
                <w:webHidden/>
              </w:rPr>
              <w:instrText xml:space="preserve"> PAGEREF _Toc80890078 \h </w:instrText>
            </w:r>
            <w:r>
              <w:rPr>
                <w:noProof/>
                <w:webHidden/>
              </w:rPr>
            </w:r>
            <w:r>
              <w:rPr>
                <w:noProof/>
                <w:webHidden/>
              </w:rPr>
              <w:fldChar w:fldCharType="separate"/>
            </w:r>
            <w:r>
              <w:rPr>
                <w:noProof/>
                <w:webHidden/>
              </w:rPr>
              <w:t>29</w:t>
            </w:r>
            <w:r>
              <w:rPr>
                <w:noProof/>
                <w:webHidden/>
              </w:rPr>
              <w:fldChar w:fldCharType="end"/>
            </w:r>
          </w:hyperlink>
        </w:p>
        <w:p w14:paraId="4D5E6AA3" w14:textId="77777777" w:rsidR="000610AD" w:rsidRDefault="000610AD">
          <w:pPr>
            <w:pStyle w:val="Spistreci1"/>
            <w:rPr>
              <w:rFonts w:asciiTheme="minorHAnsi" w:hAnsiTheme="minorHAnsi" w:cstheme="minorBidi"/>
              <w:b w:val="0"/>
            </w:rPr>
          </w:pPr>
          <w:hyperlink w:anchor="_Toc80890079" w:history="1">
            <w:r w:rsidRPr="00DA3FFE">
              <w:rPr>
                <w:rStyle w:val="Hipercze"/>
              </w:rPr>
              <w:t>4.</w:t>
            </w:r>
            <w:r>
              <w:rPr>
                <w:rFonts w:asciiTheme="minorHAnsi" w:hAnsiTheme="minorHAnsi" w:cstheme="minorBidi"/>
                <w:b w:val="0"/>
              </w:rPr>
              <w:tab/>
            </w:r>
            <w:r w:rsidRPr="00DA3FFE">
              <w:rPr>
                <w:rStyle w:val="Hipercze"/>
              </w:rPr>
              <w:t xml:space="preserve">Rozdział - Oś priorytetowa II </w:t>
            </w:r>
            <w:r w:rsidRPr="00DA3FFE">
              <w:rPr>
                <w:rStyle w:val="Hipercze"/>
                <w:i/>
              </w:rPr>
              <w:t>E-administracja i otwarty rząd</w:t>
            </w:r>
            <w:r w:rsidRPr="00DA3FFE">
              <w:rPr>
                <w:rStyle w:val="Hipercze"/>
              </w:rPr>
              <w:t xml:space="preserve"> - szczegółowe zasady kwalifikowalności wydatków w ramach EFRR</w:t>
            </w:r>
            <w:r>
              <w:rPr>
                <w:webHidden/>
              </w:rPr>
              <w:tab/>
            </w:r>
            <w:r>
              <w:rPr>
                <w:webHidden/>
              </w:rPr>
              <w:fldChar w:fldCharType="begin"/>
            </w:r>
            <w:r>
              <w:rPr>
                <w:webHidden/>
              </w:rPr>
              <w:instrText xml:space="preserve"> PAGEREF _Toc80890079 \h </w:instrText>
            </w:r>
            <w:r>
              <w:rPr>
                <w:webHidden/>
              </w:rPr>
            </w:r>
            <w:r>
              <w:rPr>
                <w:webHidden/>
              </w:rPr>
              <w:fldChar w:fldCharType="separate"/>
            </w:r>
            <w:r>
              <w:rPr>
                <w:webHidden/>
              </w:rPr>
              <w:t>30</w:t>
            </w:r>
            <w:r>
              <w:rPr>
                <w:webHidden/>
              </w:rPr>
              <w:fldChar w:fldCharType="end"/>
            </w:r>
          </w:hyperlink>
        </w:p>
        <w:p w14:paraId="3A2DC801" w14:textId="77777777" w:rsidR="000610AD" w:rsidRDefault="000610AD">
          <w:pPr>
            <w:pStyle w:val="Spistreci2"/>
            <w:tabs>
              <w:tab w:val="left" w:pos="880"/>
              <w:tab w:val="right" w:leader="dot" w:pos="9062"/>
            </w:tabs>
            <w:rPr>
              <w:noProof/>
            </w:rPr>
          </w:pPr>
          <w:hyperlink w:anchor="_Toc80890080" w:history="1">
            <w:r w:rsidRPr="00DA3FFE">
              <w:rPr>
                <w:rStyle w:val="Hipercze"/>
                <w:rFonts w:ascii="Arial" w:hAnsi="Arial" w:cs="Arial"/>
                <w:i/>
                <w:noProof/>
              </w:rPr>
              <w:t>4.1</w:t>
            </w:r>
            <w:r>
              <w:rPr>
                <w:noProof/>
              </w:rPr>
              <w:tab/>
            </w:r>
            <w:r w:rsidRPr="00DA3FFE">
              <w:rPr>
                <w:rStyle w:val="Hipercze"/>
                <w:rFonts w:ascii="Arial" w:hAnsi="Arial" w:cs="Arial"/>
                <w:i/>
                <w:noProof/>
              </w:rPr>
              <w:t>Wydatki kwalifikowalne</w:t>
            </w:r>
            <w:r>
              <w:rPr>
                <w:noProof/>
                <w:webHidden/>
              </w:rPr>
              <w:tab/>
            </w:r>
            <w:r>
              <w:rPr>
                <w:noProof/>
                <w:webHidden/>
              </w:rPr>
              <w:fldChar w:fldCharType="begin"/>
            </w:r>
            <w:r>
              <w:rPr>
                <w:noProof/>
                <w:webHidden/>
              </w:rPr>
              <w:instrText xml:space="preserve"> PAGEREF _Toc80890080 \h </w:instrText>
            </w:r>
            <w:r>
              <w:rPr>
                <w:noProof/>
                <w:webHidden/>
              </w:rPr>
            </w:r>
            <w:r>
              <w:rPr>
                <w:noProof/>
                <w:webHidden/>
              </w:rPr>
              <w:fldChar w:fldCharType="separate"/>
            </w:r>
            <w:r>
              <w:rPr>
                <w:noProof/>
                <w:webHidden/>
              </w:rPr>
              <w:t>32</w:t>
            </w:r>
            <w:r>
              <w:rPr>
                <w:noProof/>
                <w:webHidden/>
              </w:rPr>
              <w:fldChar w:fldCharType="end"/>
            </w:r>
          </w:hyperlink>
        </w:p>
        <w:p w14:paraId="095EB192" w14:textId="77777777" w:rsidR="000610AD" w:rsidRDefault="000610AD">
          <w:pPr>
            <w:pStyle w:val="Spistreci3"/>
            <w:tabs>
              <w:tab w:val="left" w:pos="1320"/>
              <w:tab w:val="right" w:leader="dot" w:pos="9062"/>
            </w:tabs>
            <w:rPr>
              <w:noProof/>
            </w:rPr>
          </w:pPr>
          <w:hyperlink w:anchor="_Toc80890081" w:history="1">
            <w:r w:rsidRPr="00DA3FFE">
              <w:rPr>
                <w:rStyle w:val="Hipercze"/>
                <w:rFonts w:ascii="Arial" w:hAnsi="Arial" w:cs="Arial"/>
                <w:i/>
                <w:noProof/>
              </w:rPr>
              <w:t>4.1.1</w:t>
            </w:r>
            <w:r>
              <w:rPr>
                <w:noProof/>
              </w:rPr>
              <w:tab/>
            </w:r>
            <w:r w:rsidRPr="00DA3FFE">
              <w:rPr>
                <w:rStyle w:val="Hipercze"/>
                <w:rFonts w:ascii="Arial" w:hAnsi="Arial" w:cs="Arial"/>
                <w:i/>
                <w:noProof/>
              </w:rPr>
              <w:t>Wykaz wydatków kwalifikowalnych ponoszonych na rzecz projektów realizowanych w ramach II osi priorytetowej</w:t>
            </w:r>
            <w:r>
              <w:rPr>
                <w:noProof/>
                <w:webHidden/>
              </w:rPr>
              <w:tab/>
            </w:r>
            <w:r>
              <w:rPr>
                <w:noProof/>
                <w:webHidden/>
              </w:rPr>
              <w:fldChar w:fldCharType="begin"/>
            </w:r>
            <w:r>
              <w:rPr>
                <w:noProof/>
                <w:webHidden/>
              </w:rPr>
              <w:instrText xml:space="preserve"> PAGEREF _Toc80890081 \h </w:instrText>
            </w:r>
            <w:r>
              <w:rPr>
                <w:noProof/>
                <w:webHidden/>
              </w:rPr>
            </w:r>
            <w:r>
              <w:rPr>
                <w:noProof/>
                <w:webHidden/>
              </w:rPr>
              <w:fldChar w:fldCharType="separate"/>
            </w:r>
            <w:r>
              <w:rPr>
                <w:noProof/>
                <w:webHidden/>
              </w:rPr>
              <w:t>32</w:t>
            </w:r>
            <w:r>
              <w:rPr>
                <w:noProof/>
                <w:webHidden/>
              </w:rPr>
              <w:fldChar w:fldCharType="end"/>
            </w:r>
          </w:hyperlink>
        </w:p>
        <w:p w14:paraId="10CEF466" w14:textId="77777777" w:rsidR="000610AD" w:rsidRDefault="000610AD">
          <w:pPr>
            <w:pStyle w:val="Spistreci3"/>
            <w:tabs>
              <w:tab w:val="left" w:pos="1320"/>
              <w:tab w:val="right" w:leader="dot" w:pos="9062"/>
            </w:tabs>
            <w:rPr>
              <w:noProof/>
            </w:rPr>
          </w:pPr>
          <w:hyperlink w:anchor="_Toc80890082" w:history="1">
            <w:r w:rsidRPr="00DA3FFE">
              <w:rPr>
                <w:rStyle w:val="Hipercze"/>
                <w:rFonts w:ascii="Arial" w:hAnsi="Arial" w:cs="Arial"/>
                <w:i/>
                <w:noProof/>
              </w:rPr>
              <w:t>4.1.2</w:t>
            </w:r>
            <w:r>
              <w:rPr>
                <w:noProof/>
              </w:rPr>
              <w:tab/>
            </w:r>
            <w:r w:rsidRPr="00DA3FFE">
              <w:rPr>
                <w:rStyle w:val="Hipercze"/>
                <w:rFonts w:ascii="Arial" w:hAnsi="Arial" w:cs="Arial"/>
                <w:i/>
                <w:noProof/>
              </w:rPr>
              <w:t>Dodatkowe wydatki kwalifikowalne w ramach działania 2.2</w:t>
            </w:r>
            <w:r>
              <w:rPr>
                <w:noProof/>
                <w:webHidden/>
              </w:rPr>
              <w:tab/>
            </w:r>
            <w:r>
              <w:rPr>
                <w:noProof/>
                <w:webHidden/>
              </w:rPr>
              <w:fldChar w:fldCharType="begin"/>
            </w:r>
            <w:r>
              <w:rPr>
                <w:noProof/>
                <w:webHidden/>
              </w:rPr>
              <w:instrText xml:space="preserve"> PAGEREF _Toc80890082 \h </w:instrText>
            </w:r>
            <w:r>
              <w:rPr>
                <w:noProof/>
                <w:webHidden/>
              </w:rPr>
            </w:r>
            <w:r>
              <w:rPr>
                <w:noProof/>
                <w:webHidden/>
              </w:rPr>
              <w:fldChar w:fldCharType="separate"/>
            </w:r>
            <w:r>
              <w:rPr>
                <w:noProof/>
                <w:webHidden/>
              </w:rPr>
              <w:t>39</w:t>
            </w:r>
            <w:r>
              <w:rPr>
                <w:noProof/>
                <w:webHidden/>
              </w:rPr>
              <w:fldChar w:fldCharType="end"/>
            </w:r>
          </w:hyperlink>
        </w:p>
        <w:p w14:paraId="6E82B608" w14:textId="77777777" w:rsidR="000610AD" w:rsidRDefault="000610AD">
          <w:pPr>
            <w:pStyle w:val="Spistreci3"/>
            <w:tabs>
              <w:tab w:val="left" w:pos="1320"/>
              <w:tab w:val="right" w:leader="dot" w:pos="9062"/>
            </w:tabs>
            <w:rPr>
              <w:noProof/>
            </w:rPr>
          </w:pPr>
          <w:hyperlink w:anchor="_Toc80890083" w:history="1">
            <w:r w:rsidRPr="00DA3FFE">
              <w:rPr>
                <w:rStyle w:val="Hipercze"/>
                <w:rFonts w:ascii="Arial" w:hAnsi="Arial" w:cs="Arial"/>
                <w:i/>
                <w:noProof/>
              </w:rPr>
              <w:t>4.1.3</w:t>
            </w:r>
            <w:r>
              <w:rPr>
                <w:noProof/>
              </w:rPr>
              <w:tab/>
            </w:r>
            <w:r w:rsidRPr="00DA3FFE">
              <w:rPr>
                <w:rStyle w:val="Hipercze"/>
                <w:rFonts w:ascii="Arial" w:hAnsi="Arial" w:cs="Arial"/>
                <w:i/>
                <w:noProof/>
              </w:rPr>
              <w:t>Dodatkowe wydatki kwalifikowalne w ramach działania 2.3</w:t>
            </w:r>
            <w:r>
              <w:rPr>
                <w:noProof/>
                <w:webHidden/>
              </w:rPr>
              <w:tab/>
            </w:r>
            <w:r>
              <w:rPr>
                <w:noProof/>
                <w:webHidden/>
              </w:rPr>
              <w:fldChar w:fldCharType="begin"/>
            </w:r>
            <w:r>
              <w:rPr>
                <w:noProof/>
                <w:webHidden/>
              </w:rPr>
              <w:instrText xml:space="preserve"> PAGEREF _Toc80890083 \h </w:instrText>
            </w:r>
            <w:r>
              <w:rPr>
                <w:noProof/>
                <w:webHidden/>
              </w:rPr>
            </w:r>
            <w:r>
              <w:rPr>
                <w:noProof/>
                <w:webHidden/>
              </w:rPr>
              <w:fldChar w:fldCharType="separate"/>
            </w:r>
            <w:r>
              <w:rPr>
                <w:noProof/>
                <w:webHidden/>
              </w:rPr>
              <w:t>40</w:t>
            </w:r>
            <w:r>
              <w:rPr>
                <w:noProof/>
                <w:webHidden/>
              </w:rPr>
              <w:fldChar w:fldCharType="end"/>
            </w:r>
          </w:hyperlink>
        </w:p>
        <w:p w14:paraId="278E4DF7" w14:textId="77777777" w:rsidR="000610AD" w:rsidRDefault="000610AD">
          <w:pPr>
            <w:pStyle w:val="Spistreci3"/>
            <w:tabs>
              <w:tab w:val="left" w:pos="1320"/>
              <w:tab w:val="right" w:leader="dot" w:pos="9062"/>
            </w:tabs>
            <w:rPr>
              <w:noProof/>
            </w:rPr>
          </w:pPr>
          <w:hyperlink w:anchor="_Toc80890084" w:history="1">
            <w:r w:rsidRPr="00DA3FFE">
              <w:rPr>
                <w:rStyle w:val="Hipercze"/>
                <w:rFonts w:ascii="Arial" w:hAnsi="Arial" w:cs="Arial"/>
                <w:i/>
                <w:noProof/>
              </w:rPr>
              <w:t>4.1.4</w:t>
            </w:r>
            <w:r>
              <w:rPr>
                <w:noProof/>
              </w:rPr>
              <w:tab/>
            </w:r>
            <w:r w:rsidRPr="00DA3FFE">
              <w:rPr>
                <w:rStyle w:val="Hipercze"/>
                <w:rFonts w:ascii="Arial" w:hAnsi="Arial" w:cs="Arial"/>
                <w:i/>
                <w:noProof/>
              </w:rPr>
              <w:t>Wydatki kwalifikowalne w projektach realizowanych w działaniu 2.1 w ramach „uproszczonej procedury”</w:t>
            </w:r>
            <w:r>
              <w:rPr>
                <w:noProof/>
                <w:webHidden/>
              </w:rPr>
              <w:tab/>
            </w:r>
            <w:r>
              <w:rPr>
                <w:noProof/>
                <w:webHidden/>
              </w:rPr>
              <w:fldChar w:fldCharType="begin"/>
            </w:r>
            <w:r>
              <w:rPr>
                <w:noProof/>
                <w:webHidden/>
              </w:rPr>
              <w:instrText xml:space="preserve"> PAGEREF _Toc80890084 \h </w:instrText>
            </w:r>
            <w:r>
              <w:rPr>
                <w:noProof/>
                <w:webHidden/>
              </w:rPr>
            </w:r>
            <w:r>
              <w:rPr>
                <w:noProof/>
                <w:webHidden/>
              </w:rPr>
              <w:fldChar w:fldCharType="separate"/>
            </w:r>
            <w:r>
              <w:rPr>
                <w:noProof/>
                <w:webHidden/>
              </w:rPr>
              <w:t>41</w:t>
            </w:r>
            <w:r>
              <w:rPr>
                <w:noProof/>
                <w:webHidden/>
              </w:rPr>
              <w:fldChar w:fldCharType="end"/>
            </w:r>
          </w:hyperlink>
        </w:p>
        <w:p w14:paraId="1951B65A" w14:textId="77777777" w:rsidR="000610AD" w:rsidRDefault="000610AD">
          <w:pPr>
            <w:pStyle w:val="Spistreci2"/>
            <w:tabs>
              <w:tab w:val="left" w:pos="880"/>
              <w:tab w:val="right" w:leader="dot" w:pos="9062"/>
            </w:tabs>
            <w:rPr>
              <w:noProof/>
            </w:rPr>
          </w:pPr>
          <w:hyperlink w:anchor="_Toc80890085" w:history="1">
            <w:r w:rsidRPr="00DA3FFE">
              <w:rPr>
                <w:rStyle w:val="Hipercze"/>
                <w:rFonts w:ascii="Arial" w:hAnsi="Arial" w:cs="Arial"/>
                <w:i/>
                <w:noProof/>
              </w:rPr>
              <w:t>4.2</w:t>
            </w:r>
            <w:r>
              <w:rPr>
                <w:noProof/>
              </w:rPr>
              <w:tab/>
            </w:r>
            <w:r w:rsidRPr="00DA3FFE">
              <w:rPr>
                <w:rStyle w:val="Hipercze"/>
                <w:rFonts w:ascii="Arial" w:hAnsi="Arial" w:cs="Arial"/>
                <w:i/>
                <w:noProof/>
              </w:rPr>
              <w:t>Cross-financing</w:t>
            </w:r>
            <w:r>
              <w:rPr>
                <w:noProof/>
                <w:webHidden/>
              </w:rPr>
              <w:tab/>
            </w:r>
            <w:r>
              <w:rPr>
                <w:noProof/>
                <w:webHidden/>
              </w:rPr>
              <w:fldChar w:fldCharType="begin"/>
            </w:r>
            <w:r>
              <w:rPr>
                <w:noProof/>
                <w:webHidden/>
              </w:rPr>
              <w:instrText xml:space="preserve"> PAGEREF _Toc80890085 \h </w:instrText>
            </w:r>
            <w:r>
              <w:rPr>
                <w:noProof/>
                <w:webHidden/>
              </w:rPr>
            </w:r>
            <w:r>
              <w:rPr>
                <w:noProof/>
                <w:webHidden/>
              </w:rPr>
              <w:fldChar w:fldCharType="separate"/>
            </w:r>
            <w:r>
              <w:rPr>
                <w:noProof/>
                <w:webHidden/>
              </w:rPr>
              <w:t>44</w:t>
            </w:r>
            <w:r>
              <w:rPr>
                <w:noProof/>
                <w:webHidden/>
              </w:rPr>
              <w:fldChar w:fldCharType="end"/>
            </w:r>
          </w:hyperlink>
        </w:p>
        <w:p w14:paraId="6ECD6852" w14:textId="77777777" w:rsidR="000610AD" w:rsidRDefault="000610AD">
          <w:pPr>
            <w:pStyle w:val="Spistreci2"/>
            <w:tabs>
              <w:tab w:val="left" w:pos="880"/>
              <w:tab w:val="right" w:leader="dot" w:pos="9062"/>
            </w:tabs>
            <w:rPr>
              <w:noProof/>
            </w:rPr>
          </w:pPr>
          <w:hyperlink w:anchor="_Toc80890086" w:history="1">
            <w:r w:rsidRPr="00DA3FFE">
              <w:rPr>
                <w:rStyle w:val="Hipercze"/>
                <w:rFonts w:ascii="Arial" w:hAnsi="Arial" w:cs="Arial"/>
                <w:i/>
                <w:noProof/>
              </w:rPr>
              <w:t>4.3</w:t>
            </w:r>
            <w:r>
              <w:rPr>
                <w:noProof/>
              </w:rPr>
              <w:tab/>
            </w:r>
            <w:r w:rsidRPr="00DA3FFE">
              <w:rPr>
                <w:rStyle w:val="Hipercze"/>
                <w:rFonts w:ascii="Arial" w:hAnsi="Arial" w:cs="Arial"/>
                <w:i/>
                <w:noProof/>
              </w:rPr>
              <w:t>Wykaz wydatków niekwalifikowalnych w ramach II osi priorytetowej</w:t>
            </w:r>
            <w:r>
              <w:rPr>
                <w:noProof/>
                <w:webHidden/>
              </w:rPr>
              <w:tab/>
            </w:r>
            <w:r>
              <w:rPr>
                <w:noProof/>
                <w:webHidden/>
              </w:rPr>
              <w:fldChar w:fldCharType="begin"/>
            </w:r>
            <w:r>
              <w:rPr>
                <w:noProof/>
                <w:webHidden/>
              </w:rPr>
              <w:instrText xml:space="preserve"> PAGEREF _Toc80890086 \h </w:instrText>
            </w:r>
            <w:r>
              <w:rPr>
                <w:noProof/>
                <w:webHidden/>
              </w:rPr>
            </w:r>
            <w:r>
              <w:rPr>
                <w:noProof/>
                <w:webHidden/>
              </w:rPr>
              <w:fldChar w:fldCharType="separate"/>
            </w:r>
            <w:r>
              <w:rPr>
                <w:noProof/>
                <w:webHidden/>
              </w:rPr>
              <w:t>45</w:t>
            </w:r>
            <w:r>
              <w:rPr>
                <w:noProof/>
                <w:webHidden/>
              </w:rPr>
              <w:fldChar w:fldCharType="end"/>
            </w:r>
          </w:hyperlink>
        </w:p>
        <w:p w14:paraId="5927F285" w14:textId="77777777" w:rsidR="000610AD" w:rsidRDefault="000610AD">
          <w:pPr>
            <w:pStyle w:val="Spistreci2"/>
            <w:tabs>
              <w:tab w:val="left" w:pos="880"/>
              <w:tab w:val="right" w:leader="dot" w:pos="9062"/>
            </w:tabs>
            <w:rPr>
              <w:noProof/>
            </w:rPr>
          </w:pPr>
          <w:hyperlink w:anchor="_Toc80890087" w:history="1">
            <w:r w:rsidRPr="00DA3FFE">
              <w:rPr>
                <w:rStyle w:val="Hipercze"/>
                <w:rFonts w:ascii="Arial" w:hAnsi="Arial" w:cs="Arial"/>
                <w:i/>
                <w:noProof/>
              </w:rPr>
              <w:t>4.4</w:t>
            </w:r>
            <w:r>
              <w:rPr>
                <w:noProof/>
              </w:rPr>
              <w:tab/>
            </w:r>
            <w:r w:rsidRPr="00DA3FFE">
              <w:rPr>
                <w:rStyle w:val="Hipercze"/>
                <w:rFonts w:ascii="Arial" w:hAnsi="Arial" w:cs="Arial"/>
                <w:i/>
                <w:noProof/>
              </w:rPr>
              <w:t>Wydatki kwalifikowalne w projektach realizowanych w działaniu 2.4 „Tworzenie usług i aplikacji wykorzystujących e-usługi publiczne i informacje sektora publicznego”</w:t>
            </w:r>
            <w:r>
              <w:rPr>
                <w:noProof/>
                <w:webHidden/>
              </w:rPr>
              <w:tab/>
            </w:r>
            <w:r>
              <w:rPr>
                <w:noProof/>
                <w:webHidden/>
              </w:rPr>
              <w:fldChar w:fldCharType="begin"/>
            </w:r>
            <w:r>
              <w:rPr>
                <w:noProof/>
                <w:webHidden/>
              </w:rPr>
              <w:instrText xml:space="preserve"> PAGEREF _Toc80890087 \h </w:instrText>
            </w:r>
            <w:r>
              <w:rPr>
                <w:noProof/>
                <w:webHidden/>
              </w:rPr>
            </w:r>
            <w:r>
              <w:rPr>
                <w:noProof/>
                <w:webHidden/>
              </w:rPr>
              <w:fldChar w:fldCharType="separate"/>
            </w:r>
            <w:r>
              <w:rPr>
                <w:noProof/>
                <w:webHidden/>
              </w:rPr>
              <w:t>47</w:t>
            </w:r>
            <w:r>
              <w:rPr>
                <w:noProof/>
                <w:webHidden/>
              </w:rPr>
              <w:fldChar w:fldCharType="end"/>
            </w:r>
          </w:hyperlink>
        </w:p>
        <w:p w14:paraId="6C8FC556" w14:textId="77777777" w:rsidR="000610AD" w:rsidRDefault="000610AD">
          <w:pPr>
            <w:pStyle w:val="Spistreci3"/>
            <w:tabs>
              <w:tab w:val="left" w:pos="1320"/>
              <w:tab w:val="right" w:leader="dot" w:pos="9062"/>
            </w:tabs>
            <w:rPr>
              <w:noProof/>
            </w:rPr>
          </w:pPr>
          <w:hyperlink w:anchor="_Toc80890088" w:history="1">
            <w:r w:rsidRPr="00DA3FFE">
              <w:rPr>
                <w:rStyle w:val="Hipercze"/>
                <w:rFonts w:ascii="Arial" w:hAnsi="Arial" w:cs="Arial"/>
                <w:i/>
                <w:noProof/>
              </w:rPr>
              <w:t>4.4.1</w:t>
            </w:r>
            <w:r>
              <w:rPr>
                <w:noProof/>
              </w:rPr>
              <w:tab/>
            </w:r>
            <w:r w:rsidRPr="00DA3FFE">
              <w:rPr>
                <w:rStyle w:val="Hipercze"/>
                <w:rFonts w:ascii="Arial" w:hAnsi="Arial" w:cs="Arial"/>
                <w:i/>
                <w:noProof/>
              </w:rPr>
              <w:t>Wydatki kwalifikowalne dla projektu pilotażowego realizowanego w działaniu 2.4 „Tworzenie usług i aplikacji wykorzystujących e-usługi publiczne i informacje sektora publicznego” w trybie pozakonkursowym w ramach naboru POPC.02.04.00-IP.01-00-003/21</w:t>
            </w:r>
            <w:r>
              <w:rPr>
                <w:noProof/>
                <w:webHidden/>
              </w:rPr>
              <w:tab/>
            </w:r>
            <w:r>
              <w:rPr>
                <w:noProof/>
                <w:webHidden/>
              </w:rPr>
              <w:fldChar w:fldCharType="begin"/>
            </w:r>
            <w:r>
              <w:rPr>
                <w:noProof/>
                <w:webHidden/>
              </w:rPr>
              <w:instrText xml:space="preserve"> PAGEREF _Toc80890088 \h </w:instrText>
            </w:r>
            <w:r>
              <w:rPr>
                <w:noProof/>
                <w:webHidden/>
              </w:rPr>
            </w:r>
            <w:r>
              <w:rPr>
                <w:noProof/>
                <w:webHidden/>
              </w:rPr>
              <w:fldChar w:fldCharType="separate"/>
            </w:r>
            <w:r>
              <w:rPr>
                <w:noProof/>
                <w:webHidden/>
              </w:rPr>
              <w:t>50</w:t>
            </w:r>
            <w:r>
              <w:rPr>
                <w:noProof/>
                <w:webHidden/>
              </w:rPr>
              <w:fldChar w:fldCharType="end"/>
            </w:r>
          </w:hyperlink>
        </w:p>
        <w:p w14:paraId="62925918" w14:textId="77777777" w:rsidR="000610AD" w:rsidRDefault="000610AD">
          <w:pPr>
            <w:pStyle w:val="Spistreci1"/>
            <w:rPr>
              <w:rFonts w:asciiTheme="minorHAnsi" w:hAnsiTheme="minorHAnsi" w:cstheme="minorBidi"/>
              <w:b w:val="0"/>
            </w:rPr>
          </w:pPr>
          <w:hyperlink w:anchor="_Toc80890089" w:history="1">
            <w:r w:rsidRPr="00DA3FFE">
              <w:rPr>
                <w:rStyle w:val="Hipercze"/>
                <w:rFonts w:eastAsia="Times New Roman" w:cs="Times New Roman"/>
                <w:bCs/>
              </w:rPr>
              <w:t>Załącznik nr 1 – Przykładowy wykaz nieprawidłowości w obszarze zamówień publicznych udzielanych na podstawie przepisów Pzp</w:t>
            </w:r>
            <w:r>
              <w:rPr>
                <w:webHidden/>
              </w:rPr>
              <w:tab/>
            </w:r>
            <w:r>
              <w:rPr>
                <w:webHidden/>
              </w:rPr>
              <w:fldChar w:fldCharType="begin"/>
            </w:r>
            <w:r>
              <w:rPr>
                <w:webHidden/>
              </w:rPr>
              <w:instrText xml:space="preserve"> PAGEREF _Toc80890089 \h </w:instrText>
            </w:r>
            <w:r>
              <w:rPr>
                <w:webHidden/>
              </w:rPr>
            </w:r>
            <w:r>
              <w:rPr>
                <w:webHidden/>
              </w:rPr>
              <w:fldChar w:fldCharType="separate"/>
            </w:r>
            <w:r>
              <w:rPr>
                <w:webHidden/>
              </w:rPr>
              <w:t>56</w:t>
            </w:r>
            <w:r>
              <w:rPr>
                <w:webHidden/>
              </w:rPr>
              <w:fldChar w:fldCharType="end"/>
            </w:r>
          </w:hyperlink>
        </w:p>
        <w:p w14:paraId="2370DA71" w14:textId="77777777" w:rsidR="000610AD" w:rsidRDefault="000610AD">
          <w:pPr>
            <w:pStyle w:val="Spistreci1"/>
            <w:rPr>
              <w:rFonts w:asciiTheme="minorHAnsi" w:hAnsiTheme="minorHAnsi" w:cstheme="minorBidi"/>
              <w:b w:val="0"/>
            </w:rPr>
          </w:pPr>
          <w:hyperlink w:anchor="_Toc80890090" w:history="1">
            <w:r w:rsidRPr="00DA3FFE">
              <w:rPr>
                <w:rStyle w:val="Hipercze"/>
                <w:rFonts w:eastAsia="Times New Roman" w:cs="Times New Roman"/>
                <w:bCs/>
              </w:rPr>
              <w:t>Załącznik nr 2 – Zestawienie regulacji w zakresie zasady konkurencyjności, w odniesieniu do konieczności stosowania przez zamawiającego określonej ścieżki postępowania</w:t>
            </w:r>
            <w:r>
              <w:rPr>
                <w:webHidden/>
              </w:rPr>
              <w:tab/>
            </w:r>
            <w:r>
              <w:rPr>
                <w:webHidden/>
              </w:rPr>
              <w:fldChar w:fldCharType="begin"/>
            </w:r>
            <w:r>
              <w:rPr>
                <w:webHidden/>
              </w:rPr>
              <w:instrText xml:space="preserve"> PAGEREF _Toc80890090 \h </w:instrText>
            </w:r>
            <w:r>
              <w:rPr>
                <w:webHidden/>
              </w:rPr>
            </w:r>
            <w:r>
              <w:rPr>
                <w:webHidden/>
              </w:rPr>
              <w:fldChar w:fldCharType="separate"/>
            </w:r>
            <w:r>
              <w:rPr>
                <w:webHidden/>
              </w:rPr>
              <w:t>58</w:t>
            </w:r>
            <w:r>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5F174C9" w14:textId="641D44F6" w:rsidR="00966A85" w:rsidRPr="007E469E" w:rsidRDefault="00003731" w:rsidP="00B11C05">
      <w:pPr>
        <w:rPr>
          <w:rFonts w:ascii="Arial" w:hAnsi="Arial" w:cs="Arial"/>
          <w:sz w:val="24"/>
          <w:szCs w:val="24"/>
        </w:rPr>
      </w:pPr>
      <w:r w:rsidRPr="007E469E">
        <w:br w:type="page"/>
      </w:r>
      <w:r w:rsidR="00966A85" w:rsidRPr="007E469E">
        <w:rPr>
          <w:rFonts w:ascii="Arial" w:hAnsi="Arial" w:cs="Arial"/>
          <w:sz w:val="24"/>
          <w:szCs w:val="24"/>
        </w:rPr>
        <w:lastRenderedPageBreak/>
        <w:t>Wykaz</w:t>
      </w:r>
      <w:r w:rsidR="000C548C" w:rsidRPr="007E469E">
        <w:rPr>
          <w:rFonts w:ascii="Arial" w:hAnsi="Arial" w:cs="Arial"/>
          <w:sz w:val="24"/>
          <w:szCs w:val="24"/>
        </w:rPr>
        <w:t xml:space="preserve"> </w:t>
      </w:r>
      <w:r w:rsidR="00966A85" w:rsidRPr="007E469E">
        <w:rPr>
          <w:rFonts w:ascii="Arial" w:hAnsi="Arial" w:cs="Arial"/>
          <w:sz w:val="24"/>
          <w:szCs w:val="24"/>
        </w:rPr>
        <w:t>skrótów</w:t>
      </w:r>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8F6959C"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w:t>
      </w:r>
      <w:r w:rsidR="00E87778">
        <w:rPr>
          <w:rFonts w:ascii="Arial" w:eastAsia="Times New Roman" w:hAnsi="Arial" w:cs="Arial"/>
          <w:lang w:eastAsia="pl-PL"/>
        </w:rPr>
        <w:t>20</w:t>
      </w:r>
      <w:r>
        <w:rPr>
          <w:rFonts w:ascii="Arial" w:eastAsia="Times New Roman" w:hAnsi="Arial" w:cs="Arial"/>
          <w:lang w:eastAsia="pl-PL"/>
        </w:rPr>
        <w:t xml:space="preserve"> r. poz. </w:t>
      </w:r>
      <w:r w:rsidR="00E87778">
        <w:rPr>
          <w:rFonts w:ascii="Arial" w:eastAsia="Times New Roman" w:hAnsi="Arial" w:cs="Arial"/>
          <w:lang w:eastAsia="pl-PL"/>
        </w:rPr>
        <w:t>2</w:t>
      </w:r>
      <w:r w:rsidR="00F60ECD">
        <w:rPr>
          <w:rFonts w:ascii="Arial" w:eastAsia="Times New Roman" w:hAnsi="Arial" w:cs="Arial"/>
          <w:lang w:eastAsia="pl-PL"/>
        </w:rPr>
        <w:t>8</w:t>
      </w:r>
      <w:r w:rsidR="00E87778">
        <w:rPr>
          <w:rFonts w:ascii="Arial" w:eastAsia="Times New Roman" w:hAnsi="Arial" w:cs="Arial"/>
          <w:lang w:eastAsia="pl-PL"/>
        </w:rPr>
        <w:t>8, 875, 1492,1517, 2275, 2320</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68090807"/>
      <w:bookmarkStart w:id="12" w:name="_Toc468090844"/>
      <w:bookmarkStart w:id="13" w:name="_Toc468092713"/>
      <w:bookmarkStart w:id="14" w:name="_Toc468092750"/>
      <w:bookmarkStart w:id="15" w:name="_Toc468090808"/>
      <w:bookmarkStart w:id="16" w:name="_Toc468090845"/>
      <w:bookmarkStart w:id="17" w:name="_Toc468092714"/>
      <w:bookmarkStart w:id="18" w:name="_Toc468092751"/>
      <w:bookmarkStart w:id="19" w:name="_Toc468090809"/>
      <w:bookmarkStart w:id="20" w:name="_Toc468090846"/>
      <w:bookmarkStart w:id="21" w:name="_Toc468092715"/>
      <w:bookmarkStart w:id="22" w:name="_Toc468092752"/>
      <w:bookmarkStart w:id="23" w:name="_Toc80890065"/>
      <w:bookmarkEnd w:id="11"/>
      <w:bookmarkEnd w:id="12"/>
      <w:bookmarkEnd w:id="13"/>
      <w:bookmarkEnd w:id="14"/>
      <w:bookmarkEnd w:id="15"/>
      <w:bookmarkEnd w:id="16"/>
      <w:bookmarkEnd w:id="17"/>
      <w:bookmarkEnd w:id="18"/>
      <w:bookmarkEnd w:id="19"/>
      <w:bookmarkEnd w:id="20"/>
      <w:bookmarkEnd w:id="21"/>
      <w:bookmarkEnd w:id="22"/>
      <w:r w:rsidRPr="007E469E">
        <w:rPr>
          <w:rFonts w:ascii="Arial" w:hAnsi="Arial" w:cs="Arial"/>
          <w:color w:val="auto"/>
          <w:sz w:val="24"/>
          <w:szCs w:val="24"/>
        </w:rPr>
        <w:lastRenderedPageBreak/>
        <w:t>Rozdział - Słowniczek pojęć</w:t>
      </w:r>
      <w:bookmarkEnd w:id="23"/>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0610AD">
      <w:pPr>
        <w:numPr>
          <w:ilvl w:val="0"/>
          <w:numId w:val="11"/>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0610AD">
      <w:pPr>
        <w:numPr>
          <w:ilvl w:val="0"/>
          <w:numId w:val="11"/>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0610AD">
      <w:pPr>
        <w:numPr>
          <w:ilvl w:val="0"/>
          <w:numId w:val="11"/>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F60ECD">
        <w:rPr>
          <w:rFonts w:ascii="Arial" w:eastAsia="Calibri" w:hAnsi="Arial" w:cs="Arial"/>
        </w:rPr>
        <w:t xml:space="preserve">; w </w:t>
      </w:r>
      <w:r w:rsidR="00F60ECD">
        <w:rPr>
          <w:rFonts w:ascii="Arial" w:eastAsia="Calibri" w:hAnsi="Arial" w:cs="Arial"/>
        </w:rPr>
        <w:lastRenderedPageBreak/>
        <w:t>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0610AD">
      <w:pPr>
        <w:numPr>
          <w:ilvl w:val="0"/>
          <w:numId w:val="11"/>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0610AD">
      <w:pPr>
        <w:numPr>
          <w:ilvl w:val="0"/>
          <w:numId w:val="11"/>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0610AD">
      <w:pPr>
        <w:numPr>
          <w:ilvl w:val="0"/>
          <w:numId w:val="11"/>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0610AD">
      <w:pPr>
        <w:pStyle w:val="Akapit"/>
        <w:keepNext w:val="0"/>
        <w:numPr>
          <w:ilvl w:val="0"/>
          <w:numId w:val="11"/>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0610AD">
      <w:pPr>
        <w:pStyle w:val="Akapit"/>
        <w:keepNext w:val="0"/>
        <w:numPr>
          <w:ilvl w:val="0"/>
          <w:numId w:val="11"/>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0610AD">
      <w:pPr>
        <w:pStyle w:val="Akapit"/>
        <w:keepNext w:val="0"/>
        <w:numPr>
          <w:ilvl w:val="0"/>
          <w:numId w:val="11"/>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0610AD">
      <w:pPr>
        <w:numPr>
          <w:ilvl w:val="0"/>
          <w:numId w:val="11"/>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6C47BD0A" w14:textId="56F90481" w:rsidR="00740FCE" w:rsidRPr="00F04887" w:rsidRDefault="00470A70" w:rsidP="000610AD">
      <w:pPr>
        <w:numPr>
          <w:ilvl w:val="0"/>
          <w:numId w:val="11"/>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0610AD">
      <w:pPr>
        <w:numPr>
          <w:ilvl w:val="0"/>
          <w:numId w:val="11"/>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0610AD">
      <w:pPr>
        <w:numPr>
          <w:ilvl w:val="0"/>
          <w:numId w:val="11"/>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2D3BFE06" w14:textId="688B4D02" w:rsidR="00740FCE" w:rsidRPr="008B5852" w:rsidRDefault="00740FCE" w:rsidP="000610AD">
      <w:pPr>
        <w:numPr>
          <w:ilvl w:val="0"/>
          <w:numId w:val="11"/>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0610AD">
      <w:pPr>
        <w:numPr>
          <w:ilvl w:val="0"/>
          <w:numId w:val="11"/>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0610AD">
      <w:pPr>
        <w:numPr>
          <w:ilvl w:val="0"/>
          <w:numId w:val="11"/>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0610AD">
      <w:pPr>
        <w:numPr>
          <w:ilvl w:val="0"/>
          <w:numId w:val="11"/>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610AD">
      <w:pPr>
        <w:numPr>
          <w:ilvl w:val="0"/>
          <w:numId w:val="11"/>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610AD">
      <w:pPr>
        <w:numPr>
          <w:ilvl w:val="0"/>
          <w:numId w:val="11"/>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59F2F283" w:rsidR="00CB72E6" w:rsidRPr="00800E96" w:rsidRDefault="00CB72E6" w:rsidP="000610AD">
      <w:pPr>
        <w:numPr>
          <w:ilvl w:val="0"/>
          <w:numId w:val="11"/>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0610AD">
      <w:pPr>
        <w:numPr>
          <w:ilvl w:val="0"/>
          <w:numId w:val="11"/>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0610AD">
      <w:pPr>
        <w:numPr>
          <w:ilvl w:val="0"/>
          <w:numId w:val="11"/>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0610AD">
      <w:pPr>
        <w:numPr>
          <w:ilvl w:val="0"/>
          <w:numId w:val="11"/>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0610AD">
      <w:pPr>
        <w:numPr>
          <w:ilvl w:val="0"/>
          <w:numId w:val="11"/>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78A0927D"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0610AD">
      <w:pPr>
        <w:numPr>
          <w:ilvl w:val="0"/>
          <w:numId w:val="11"/>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0610AD">
      <w:pPr>
        <w:numPr>
          <w:ilvl w:val="0"/>
          <w:numId w:val="11"/>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12AF8DBC" w:rsidR="004425CF" w:rsidRPr="007E469E" w:rsidRDefault="004425CF" w:rsidP="000610AD">
      <w:pPr>
        <w:numPr>
          <w:ilvl w:val="0"/>
          <w:numId w:val="11"/>
        </w:numPr>
        <w:spacing w:after="0" w:line="360" w:lineRule="auto"/>
        <w:jc w:val="both"/>
        <w:rPr>
          <w:rFonts w:ascii="Arial" w:hAnsi="Arial" w:cs="Arial"/>
        </w:rPr>
      </w:pPr>
      <w:r w:rsidRPr="007E469E">
        <w:rPr>
          <w:rFonts w:ascii="Arial" w:eastAsia="Times New Roman" w:hAnsi="Arial" w:cs="Arial"/>
          <w:lang w:eastAsia="pl-PL"/>
        </w:rPr>
        <w:t xml:space="preserve">rozporządzenie nr </w:t>
      </w:r>
      <w:r w:rsidR="008E65B9">
        <w:rPr>
          <w:rFonts w:ascii="Arial" w:eastAsia="Times New Roman" w:hAnsi="Arial" w:cs="Arial"/>
          <w:lang w:eastAsia="pl-PL"/>
        </w:rPr>
        <w:t>2018/1046</w:t>
      </w:r>
      <w:r w:rsidRPr="007E469E">
        <w:rPr>
          <w:rFonts w:ascii="Arial" w:eastAsia="Times New Roman" w:hAnsi="Arial" w:cs="Arial"/>
          <w:lang w:eastAsia="pl-PL"/>
        </w:rPr>
        <w:t xml:space="preserve"> –</w:t>
      </w:r>
      <w:r w:rsidR="008E65B9">
        <w:rPr>
          <w:rFonts w:ascii="Arial" w:eastAsia="Times New Roman" w:hAnsi="Arial" w:cs="Arial"/>
          <w:lang w:eastAsia="pl-PL"/>
        </w:rPr>
        <w:t>r</w:t>
      </w:r>
      <w:r w:rsidR="008E65B9" w:rsidRPr="008E65B9">
        <w:rPr>
          <w:rFonts w:ascii="Arial" w:eastAsia="Times New Roman" w:hAnsi="Arial" w:cs="Arial"/>
          <w:lang w:eastAsia="pl-PL"/>
        </w:rPr>
        <w:t xml:space="preserve">ozporządzenie Parlamentu Europejskiego i Rady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nr 966/2012</w:t>
      </w:r>
      <w:r w:rsidR="008E65B9">
        <w:rPr>
          <w:rFonts w:ascii="Arial" w:eastAsia="Times New Roman" w:hAnsi="Arial" w:cs="Arial"/>
          <w:lang w:eastAsia="pl-PL"/>
        </w:rPr>
        <w:t>;</w:t>
      </w:r>
    </w:p>
    <w:p w14:paraId="0002508E" w14:textId="77777777"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w:t>
      </w:r>
      <w:r w:rsidR="008E35A2" w:rsidRPr="00EF5BA8">
        <w:rPr>
          <w:rFonts w:ascii="Arial" w:eastAsia="MS Mincho" w:hAnsi="Arial" w:cs="Arial"/>
          <w:lang w:eastAsia="ja-JP"/>
        </w:rPr>
        <w:lastRenderedPageBreak/>
        <w:t>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0610AD">
      <w:pPr>
        <w:numPr>
          <w:ilvl w:val="0"/>
          <w:numId w:val="11"/>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0610AD">
      <w:pPr>
        <w:numPr>
          <w:ilvl w:val="0"/>
          <w:numId w:val="11"/>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0610AD">
      <w:pPr>
        <w:numPr>
          <w:ilvl w:val="0"/>
          <w:numId w:val="11"/>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0610AD">
      <w:pPr>
        <w:numPr>
          <w:ilvl w:val="0"/>
          <w:numId w:val="11"/>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w:t>
      </w:r>
      <w:r w:rsidRPr="00F04887">
        <w:rPr>
          <w:rFonts w:ascii="Arial" w:hAnsi="Arial" w:cs="Arial"/>
        </w:rPr>
        <w:lastRenderedPageBreak/>
        <w:t>zalicza się do aktywów trwałych 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0610AD">
      <w:pPr>
        <w:numPr>
          <w:ilvl w:val="0"/>
          <w:numId w:val="11"/>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0610AD">
      <w:pPr>
        <w:numPr>
          <w:ilvl w:val="0"/>
          <w:numId w:val="11"/>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0610AD">
      <w:pPr>
        <w:numPr>
          <w:ilvl w:val="0"/>
          <w:numId w:val="11"/>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0610AD">
      <w:pPr>
        <w:numPr>
          <w:ilvl w:val="0"/>
          <w:numId w:val="11"/>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0610AD">
      <w:pPr>
        <w:numPr>
          <w:ilvl w:val="0"/>
          <w:numId w:val="11"/>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10"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0610AD">
      <w:pPr>
        <w:numPr>
          <w:ilvl w:val="0"/>
          <w:numId w:val="11"/>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4" w:name="_Toc478993703"/>
      <w:bookmarkStart w:id="25" w:name="_Toc478993704"/>
      <w:bookmarkStart w:id="26" w:name="_Toc384969091"/>
      <w:bookmarkStart w:id="27" w:name="_Toc80890066"/>
      <w:bookmarkEnd w:id="24"/>
      <w:bookmarkEnd w:id="25"/>
      <w:r w:rsidRPr="007E469E">
        <w:rPr>
          <w:rFonts w:ascii="Arial" w:hAnsi="Arial" w:cs="Arial"/>
          <w:color w:val="auto"/>
          <w:sz w:val="24"/>
          <w:szCs w:val="24"/>
        </w:rPr>
        <w:lastRenderedPageBreak/>
        <w:t xml:space="preserve">Rozdział - Cel, zakres oraz obowiązywanie </w:t>
      </w:r>
      <w:bookmarkEnd w:id="26"/>
      <w:r w:rsidR="00D454D4">
        <w:rPr>
          <w:rFonts w:ascii="Arial" w:hAnsi="Arial" w:cs="Arial"/>
          <w:i/>
          <w:color w:val="auto"/>
          <w:sz w:val="24"/>
          <w:szCs w:val="24"/>
        </w:rPr>
        <w:t>Katalogu</w:t>
      </w:r>
      <w:bookmarkEnd w:id="27"/>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8" w:name="39"/>
      <w:bookmarkStart w:id="29" w:name="_Toc396130032"/>
      <w:bookmarkStart w:id="30" w:name="_Toc396130107"/>
      <w:bookmarkEnd w:id="28"/>
      <w:bookmarkEnd w:id="29"/>
      <w:bookmarkEnd w:id="30"/>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1" w:name="_Toc80890067"/>
      <w:r w:rsidRPr="007E469E">
        <w:rPr>
          <w:rFonts w:ascii="Arial" w:hAnsi="Arial" w:cs="Arial"/>
          <w:color w:val="auto"/>
          <w:sz w:val="24"/>
          <w:szCs w:val="24"/>
        </w:rPr>
        <w:lastRenderedPageBreak/>
        <w:t>Rozdział - Wspólne warunki i procedury w zakresie kwalifikowalności wydatków</w:t>
      </w:r>
      <w:bookmarkEnd w:id="31"/>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80890068"/>
      <w:r w:rsidRPr="007E469E">
        <w:rPr>
          <w:rFonts w:ascii="Arial" w:hAnsi="Arial" w:cs="Arial"/>
          <w:i/>
          <w:color w:val="auto"/>
          <w:sz w:val="24"/>
          <w:szCs w:val="24"/>
        </w:rPr>
        <w:t>Ocena kwalifikowalności wydatku.</w:t>
      </w:r>
      <w:bookmarkEnd w:id="32"/>
    </w:p>
    <w:p w14:paraId="73ADDC06" w14:textId="77777777" w:rsidR="00903FFD" w:rsidRPr="007E469E" w:rsidRDefault="00903FFD" w:rsidP="000610AD">
      <w:pPr>
        <w:pStyle w:val="Akapitzlist"/>
        <w:numPr>
          <w:ilvl w:val="0"/>
          <w:numId w:val="12"/>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3" w:name="_Toc80890069"/>
      <w:r w:rsidRPr="00B81671">
        <w:rPr>
          <w:rFonts w:ascii="Arial" w:hAnsi="Arial" w:cs="Arial"/>
          <w:i/>
          <w:color w:val="auto"/>
          <w:sz w:val="24"/>
          <w:szCs w:val="24"/>
        </w:rPr>
        <w:t>Zasada faktycznego poniesienia wydatku</w:t>
      </w:r>
      <w:bookmarkEnd w:id="33"/>
    </w:p>
    <w:p w14:paraId="203B22AE" w14:textId="77777777" w:rsidR="00903FFD" w:rsidRPr="00B81671" w:rsidRDefault="00903FFD"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F146DA">
      <w:pPr>
        <w:numPr>
          <w:ilvl w:val="0"/>
          <w:numId w:val="4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F146DA">
      <w:pPr>
        <w:numPr>
          <w:ilvl w:val="0"/>
          <w:numId w:val="4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F146DA">
      <w:pPr>
        <w:numPr>
          <w:ilvl w:val="0"/>
          <w:numId w:val="3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F146DA">
      <w:pPr>
        <w:pStyle w:val="Akapitzlist"/>
        <w:numPr>
          <w:ilvl w:val="0"/>
          <w:numId w:val="3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F146DA">
      <w:pPr>
        <w:numPr>
          <w:ilvl w:val="0"/>
          <w:numId w:val="3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4" w:name="_Toc80890070"/>
      <w:bookmarkStart w:id="35" w:name="_Toc399917175"/>
      <w:r w:rsidRPr="00B81671">
        <w:rPr>
          <w:rFonts w:ascii="Arial" w:hAnsi="Arial" w:cs="Arial"/>
          <w:i/>
          <w:color w:val="auto"/>
          <w:sz w:val="24"/>
          <w:szCs w:val="24"/>
        </w:rPr>
        <w:t>Warunki oraz okres kwalifikowania wydatków w projektach podlegających zasadom pomocy publicznej</w:t>
      </w:r>
      <w:bookmarkEnd w:id="34"/>
    </w:p>
    <w:p w14:paraId="284FA270"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F146DA">
      <w:pPr>
        <w:pStyle w:val="Akapitzlist"/>
        <w:numPr>
          <w:ilvl w:val="1"/>
          <w:numId w:val="28"/>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lastRenderedPageBreak/>
        <w:t>obowiązek przestrzegania zasad kumulacji pomocy,</w:t>
      </w:r>
    </w:p>
    <w:p w14:paraId="1451477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610AD">
      <w:pPr>
        <w:pStyle w:val="Akapitzlist"/>
        <w:numPr>
          <w:ilvl w:val="0"/>
          <w:numId w:val="13"/>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w:t>
      </w:r>
      <w:r w:rsidRPr="00B81671">
        <w:rPr>
          <w:rFonts w:ascii="Arial" w:hAnsi="Arial" w:cs="Arial"/>
        </w:rPr>
        <w:lastRenderedPageBreak/>
        <w:t>przygotowawczych, takich jak uzyskanie stosownych zezwoleń, czy przeprowadzenie studiów wykonalności, co do zasady, nie uważa się za rozpoczęcie prac.</w:t>
      </w:r>
    </w:p>
    <w:p w14:paraId="04CB7FFB"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w:t>
      </w:r>
      <w:r w:rsidRPr="00B81671">
        <w:rPr>
          <w:rFonts w:ascii="Arial" w:hAnsi="Arial" w:cs="Arial"/>
        </w:rPr>
        <w:lastRenderedPageBreak/>
        <w:t xml:space="preserve">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6" w:name="_Toc407115848"/>
      <w:bookmarkStart w:id="37" w:name="_Toc407116378"/>
      <w:bookmarkStart w:id="38" w:name="_Toc491432427"/>
      <w:bookmarkStart w:id="39" w:name="_Toc491432428"/>
      <w:bookmarkStart w:id="40" w:name="_Toc491432429"/>
      <w:bookmarkStart w:id="41" w:name="_Toc491432430"/>
      <w:bookmarkStart w:id="42" w:name="_Toc428535187"/>
      <w:bookmarkStart w:id="43" w:name="_Toc431295988"/>
      <w:bookmarkStart w:id="44" w:name="_Toc80890071"/>
      <w:bookmarkStart w:id="45" w:name="_Toc406509583"/>
      <w:bookmarkEnd w:id="36"/>
      <w:bookmarkEnd w:id="37"/>
      <w:bookmarkEnd w:id="38"/>
      <w:bookmarkEnd w:id="39"/>
      <w:bookmarkEnd w:id="40"/>
      <w:bookmarkEnd w:id="41"/>
      <w:r>
        <w:rPr>
          <w:rFonts w:ascii="Arial" w:hAnsi="Arial" w:cs="Arial"/>
          <w:i/>
          <w:color w:val="000000" w:themeColor="text1"/>
          <w:sz w:val="24"/>
          <w:szCs w:val="24"/>
        </w:rPr>
        <w:lastRenderedPageBreak/>
        <w:t>Zamówienia udzielane w projektach</w:t>
      </w:r>
      <w:bookmarkEnd w:id="42"/>
      <w:bookmarkEnd w:id="43"/>
      <w:bookmarkEnd w:id="44"/>
    </w:p>
    <w:p w14:paraId="700F731C" w14:textId="77777777" w:rsidR="008D2E9C" w:rsidRPr="00B81671"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F146DA">
      <w:pPr>
        <w:numPr>
          <w:ilvl w:val="0"/>
          <w:numId w:val="24"/>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6" w:name="_Toc429043882"/>
      <w:bookmarkStart w:id="47" w:name="_Toc80890072"/>
      <w:bookmarkEnd w:id="35"/>
      <w:bookmarkEnd w:id="45"/>
      <w:bookmarkEnd w:id="46"/>
      <w:r w:rsidRPr="00C60541">
        <w:rPr>
          <w:rFonts w:ascii="Arial" w:hAnsi="Arial" w:cs="Arial"/>
          <w:i/>
          <w:color w:val="auto"/>
          <w:sz w:val="24"/>
          <w:szCs w:val="24"/>
        </w:rPr>
        <w:t>Leasing</w:t>
      </w:r>
      <w:bookmarkEnd w:id="47"/>
    </w:p>
    <w:p w14:paraId="2521C2E6" w14:textId="77777777" w:rsidR="006F58D2" w:rsidRDefault="006F58D2" w:rsidP="00F146DA">
      <w:pPr>
        <w:keepNext/>
        <w:numPr>
          <w:ilvl w:val="0"/>
          <w:numId w:val="32"/>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F146DA">
      <w:pPr>
        <w:keepNext/>
        <w:numPr>
          <w:ilvl w:val="0"/>
          <w:numId w:val="3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80890073"/>
      <w:r w:rsidRPr="00554E0C">
        <w:rPr>
          <w:rFonts w:ascii="Arial" w:hAnsi="Arial" w:cs="Arial"/>
          <w:i/>
          <w:color w:val="auto"/>
          <w:sz w:val="24"/>
          <w:szCs w:val="24"/>
        </w:rPr>
        <w:lastRenderedPageBreak/>
        <w:t>Projekty generujące dochód po zakończeniu realizacji projektów</w:t>
      </w:r>
      <w:bookmarkEnd w:id="48"/>
    </w:p>
    <w:p w14:paraId="72C9A026" w14:textId="59340B5F" w:rsidR="008C5BFF" w:rsidRDefault="008C5BFF"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w:t>
      </w:r>
      <w:r w:rsidR="00E87778">
        <w:rPr>
          <w:rFonts w:ascii="Arial" w:eastAsia="Times New Roman" w:hAnsi="Arial" w:cs="Times New Roman"/>
          <w:szCs w:val="24"/>
          <w:lang w:eastAsia="pl-PL"/>
        </w:rPr>
        <w:t>le</w:t>
      </w:r>
      <w:r w:rsidR="00C74429">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80890074"/>
      <w:bookmarkEnd w:id="49"/>
      <w:bookmarkEnd w:id="50"/>
      <w:r w:rsidRPr="007E469E">
        <w:rPr>
          <w:rFonts w:ascii="Arial" w:hAnsi="Arial" w:cs="Arial"/>
          <w:i/>
          <w:color w:val="auto"/>
          <w:sz w:val="24"/>
          <w:szCs w:val="24"/>
        </w:rPr>
        <w:t>Kwalifikowalność podatku VAT i innych podatków, opłat i obciążeń</w:t>
      </w:r>
      <w:bookmarkEnd w:id="51"/>
    </w:p>
    <w:p w14:paraId="3C479383" w14:textId="77777777" w:rsidR="002D0AA9" w:rsidRPr="00B949A5" w:rsidRDefault="00A0475E" w:rsidP="00F146DA">
      <w:pPr>
        <w:keepNext/>
        <w:numPr>
          <w:ilvl w:val="0"/>
          <w:numId w:val="41"/>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F146DA">
      <w:pPr>
        <w:keepNext/>
        <w:numPr>
          <w:ilvl w:val="0"/>
          <w:numId w:val="4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2" w:name="_Toc417549284"/>
      <w:bookmarkStart w:id="53" w:name="_Toc417549353"/>
      <w:bookmarkStart w:id="54" w:name="_Toc417549422"/>
      <w:bookmarkStart w:id="55" w:name="_Toc418584390"/>
      <w:bookmarkStart w:id="56" w:name="_Toc418588606"/>
      <w:bookmarkStart w:id="57" w:name="_Toc407115859"/>
      <w:bookmarkStart w:id="58" w:name="_Toc407116389"/>
      <w:bookmarkStart w:id="59" w:name="_Toc468090827"/>
      <w:bookmarkStart w:id="60" w:name="_Toc468090864"/>
      <w:bookmarkStart w:id="61" w:name="_Toc468092733"/>
      <w:bookmarkStart w:id="62" w:name="_Toc468092770"/>
      <w:bookmarkStart w:id="63" w:name="_Toc468090828"/>
      <w:bookmarkStart w:id="64" w:name="_Toc468090865"/>
      <w:bookmarkStart w:id="65" w:name="_Toc468092734"/>
      <w:bookmarkStart w:id="66" w:name="_Toc468092771"/>
      <w:bookmarkStart w:id="67" w:name="_Toc468090829"/>
      <w:bookmarkStart w:id="68" w:name="_Toc468090866"/>
      <w:bookmarkStart w:id="69" w:name="_Toc468092735"/>
      <w:bookmarkStart w:id="70" w:name="_Toc468092772"/>
      <w:bookmarkStart w:id="71" w:name="_Toc468090830"/>
      <w:bookmarkStart w:id="72" w:name="_Toc468090867"/>
      <w:bookmarkStart w:id="73" w:name="_Toc468092736"/>
      <w:bookmarkStart w:id="74" w:name="_Toc468092773"/>
      <w:bookmarkStart w:id="75" w:name="_Toc80890075"/>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B81671">
        <w:rPr>
          <w:rFonts w:ascii="Arial" w:hAnsi="Arial" w:cs="Arial"/>
          <w:i/>
          <w:color w:val="auto"/>
          <w:sz w:val="24"/>
          <w:szCs w:val="24"/>
        </w:rPr>
        <w:t>Duży projekt – zasady identyfikacji</w:t>
      </w:r>
      <w:bookmarkEnd w:id="75"/>
      <w:r w:rsidRPr="00B81671">
        <w:rPr>
          <w:rFonts w:ascii="Arial" w:hAnsi="Arial" w:cs="Arial"/>
          <w:i/>
          <w:color w:val="auto"/>
          <w:sz w:val="24"/>
          <w:szCs w:val="24"/>
        </w:rPr>
        <w:t xml:space="preserve"> </w:t>
      </w:r>
    </w:p>
    <w:p w14:paraId="4B29D47C" w14:textId="77777777" w:rsidR="00F0653C" w:rsidRPr="0020096F" w:rsidRDefault="00F0653C" w:rsidP="000610AD">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t>
      </w:r>
      <w:r w:rsidRPr="00B81671">
        <w:rPr>
          <w:rFonts w:cs="Arial"/>
          <w:szCs w:val="22"/>
        </w:rPr>
        <w:lastRenderedPageBreak/>
        <w:t>w 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0610AD">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80890076"/>
      <w:r w:rsidRPr="00B81671">
        <w:rPr>
          <w:rFonts w:ascii="Arial" w:hAnsi="Arial" w:cs="Arial"/>
          <w:i/>
          <w:color w:val="auto"/>
          <w:sz w:val="24"/>
          <w:szCs w:val="24"/>
        </w:rPr>
        <w:t>Podmiot dokonujący wydatków kwalifikowalnych</w:t>
      </w:r>
      <w:bookmarkEnd w:id="76"/>
    </w:p>
    <w:p w14:paraId="521DA76F" w14:textId="77777777" w:rsidR="00AC2A05"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0610AD">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postanowienia dotyczące wzajemnych praw i obowiązków stron gwarantujące </w:t>
      </w:r>
      <w:r w:rsidRPr="00A6331E">
        <w:rPr>
          <w:rFonts w:ascii="Arial" w:eastAsia="Times New Roman" w:hAnsi="Arial" w:cs="Arial"/>
          <w:lang w:eastAsia="pl-PL"/>
        </w:rPr>
        <w:lastRenderedPageBreak/>
        <w:t>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0610AD">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0610AD">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7" w:name="_Toc80890077"/>
      <w:r w:rsidRPr="00B81671">
        <w:rPr>
          <w:rFonts w:ascii="Arial" w:hAnsi="Arial" w:cs="Arial"/>
          <w:i/>
          <w:color w:val="auto"/>
          <w:sz w:val="24"/>
          <w:szCs w:val="24"/>
        </w:rPr>
        <w:t>Podmiot na rzecz którego ponoszone są wydatki kwalifikowalne</w:t>
      </w:r>
      <w:bookmarkEnd w:id="77"/>
    </w:p>
    <w:p w14:paraId="1DA6621C"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D77D56" w:rsidRDefault="00A011A3" w:rsidP="000610AD">
      <w:pPr>
        <w:numPr>
          <w:ilvl w:val="0"/>
          <w:numId w:val="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Mając na uwadze art. 143c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zamawiający dokonuje </w:t>
      </w:r>
      <w:r w:rsidRPr="00D77D56">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D77D56">
        <w:rPr>
          <w:rFonts w:ascii="Arial" w:eastAsia="Times New Roman" w:hAnsi="Arial" w:cs="Arial"/>
          <w:lang w:eastAsia="pl-PL"/>
        </w:rPr>
        <w:t xml:space="preserve"> </w:t>
      </w:r>
    </w:p>
    <w:p w14:paraId="01221D83" w14:textId="77777777" w:rsidR="00C4069A"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D77D56" w:rsidRDefault="00C4069A" w:rsidP="005A373A">
      <w:pPr>
        <w:spacing w:before="120" w:after="120" w:line="360" w:lineRule="auto"/>
        <w:ind w:left="360"/>
        <w:jc w:val="both"/>
        <w:rPr>
          <w:rFonts w:ascii="Arial" w:hAnsi="Arial" w:cs="Arial"/>
        </w:rPr>
      </w:pPr>
      <w:r w:rsidRPr="00D77D56">
        <w:rPr>
          <w:rFonts w:ascii="Arial" w:hAnsi="Arial" w:cs="Arial"/>
        </w:rPr>
        <w:t xml:space="preserve">- </w:t>
      </w:r>
      <w:r w:rsidR="00A011A3" w:rsidRPr="00D77D56">
        <w:rPr>
          <w:rFonts w:ascii="Arial" w:hAnsi="Arial" w:cs="Arial"/>
        </w:rPr>
        <w:t xml:space="preserve"> po zaakceptowaniu przez </w:t>
      </w:r>
      <w:r w:rsidR="00A011A3" w:rsidRPr="00D77D56">
        <w:rPr>
          <w:rFonts w:ascii="Arial" w:eastAsia="Times New Roman" w:hAnsi="Arial" w:cs="Arial"/>
          <w:lang w:eastAsia="pl-PL"/>
        </w:rPr>
        <w:t xml:space="preserve">beneficjenta </w:t>
      </w:r>
      <w:r w:rsidR="00A011A3" w:rsidRPr="00D77D56">
        <w:rPr>
          <w:rFonts w:ascii="Arial" w:hAnsi="Arial" w:cs="Arial"/>
        </w:rPr>
        <w:t>umowy o podwykonawstwo, której przedmiotem są roboty budowlane lub</w:t>
      </w:r>
      <w:r w:rsidR="00583AEB" w:rsidRPr="00D77D56">
        <w:rPr>
          <w:rFonts w:ascii="Arial" w:hAnsi="Arial" w:cs="Arial"/>
        </w:rPr>
        <w:t>,</w:t>
      </w:r>
      <w:r w:rsidR="00A011A3" w:rsidRPr="00D77D56">
        <w:rPr>
          <w:rFonts w:ascii="Arial" w:hAnsi="Arial" w:cs="Arial"/>
        </w:rPr>
        <w:t xml:space="preserve"> </w:t>
      </w:r>
    </w:p>
    <w:p w14:paraId="794A7C16" w14:textId="77777777" w:rsidR="00A011A3" w:rsidRPr="00D77D56" w:rsidRDefault="00C4069A" w:rsidP="005A373A">
      <w:pPr>
        <w:spacing w:before="120" w:after="120" w:line="360" w:lineRule="auto"/>
        <w:ind w:left="360"/>
        <w:jc w:val="both"/>
        <w:rPr>
          <w:rFonts w:ascii="Arial" w:eastAsia="Times New Roman" w:hAnsi="Arial" w:cs="Arial"/>
          <w:lang w:eastAsia="pl-PL"/>
        </w:rPr>
      </w:pPr>
      <w:r w:rsidRPr="00D77D56">
        <w:rPr>
          <w:rFonts w:ascii="Arial" w:hAnsi="Arial" w:cs="Arial"/>
        </w:rPr>
        <w:t xml:space="preserve">- </w:t>
      </w:r>
      <w:r w:rsidR="00A011A3" w:rsidRPr="00D77D56">
        <w:rPr>
          <w:rFonts w:ascii="Arial" w:hAnsi="Arial" w:cs="Arial"/>
        </w:rPr>
        <w:t>po przedłożeniu zamawiającemu poświadczonej za zgodność z oryginałem kopii umowy o podwykonawstwo, której przedmiotem</w:t>
      </w:r>
      <w:r w:rsidR="00010292" w:rsidRPr="00D77D56">
        <w:rPr>
          <w:rFonts w:ascii="Arial" w:hAnsi="Arial" w:cs="Arial"/>
        </w:rPr>
        <w:t xml:space="preserve"> </w:t>
      </w:r>
      <w:r w:rsidR="00561A31" w:rsidRPr="00D77D56">
        <w:rPr>
          <w:rFonts w:ascii="Arial" w:hAnsi="Arial" w:cs="Arial"/>
        </w:rPr>
        <w:t xml:space="preserve"> </w:t>
      </w:r>
      <w:r w:rsidR="00A011A3" w:rsidRPr="00D77D56">
        <w:rPr>
          <w:rFonts w:ascii="Arial" w:hAnsi="Arial" w:cs="Arial"/>
        </w:rPr>
        <w:t>są dostawy lub usługi – bez odsetek, należnych podwykonawcy lub dalszemu podwykonawcy.</w:t>
      </w:r>
    </w:p>
    <w:p w14:paraId="3987522A"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4478EAB2" w14:textId="77777777" w:rsidR="00D77D56" w:rsidRPr="000610AD" w:rsidRDefault="00D77D56" w:rsidP="00D77D56">
      <w:pPr>
        <w:pStyle w:val="Nagwek2"/>
        <w:numPr>
          <w:ilvl w:val="1"/>
          <w:numId w:val="1"/>
        </w:numPr>
        <w:spacing w:before="240" w:after="60" w:line="360" w:lineRule="auto"/>
        <w:jc w:val="center"/>
        <w:rPr>
          <w:rFonts w:ascii="Arial" w:eastAsia="Times New Roman" w:hAnsi="Arial" w:cs="Arial"/>
          <w:color w:val="auto"/>
          <w:lang w:eastAsia="pl-PL"/>
        </w:rPr>
      </w:pPr>
      <w:bookmarkStart w:id="78" w:name="_Toc80890078"/>
      <w:r w:rsidRPr="000610AD">
        <w:rPr>
          <w:rFonts w:ascii="Arial" w:eastAsia="Times New Roman" w:hAnsi="Arial" w:cs="Arial"/>
          <w:color w:val="auto"/>
          <w:lang w:eastAsia="pl-PL"/>
        </w:rPr>
        <w:t>Projekty grantowe</w:t>
      </w:r>
      <w:bookmarkEnd w:id="78"/>
    </w:p>
    <w:p w14:paraId="53164A3C" w14:textId="277E0D4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 ramach II osi priorytetowej POPC mogą być realizowane projekty grantowe. </w:t>
      </w:r>
    </w:p>
    <w:p w14:paraId="192ABBD0" w14:textId="075FD1A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Zasady realizacji projektów grantowych określają: ustawa wdrożeniowa, podrozdział 6.</w:t>
      </w:r>
      <w:r>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niniejszy </w:t>
      </w:r>
      <w:r w:rsidRPr="00E87778">
        <w:rPr>
          <w:rFonts w:ascii="Arial" w:eastAsia="Times New Roman" w:hAnsi="Arial" w:cs="Arial"/>
          <w:i/>
          <w:lang w:eastAsia="pl-PL"/>
        </w:rPr>
        <w:t>Katalog</w:t>
      </w:r>
      <w:r w:rsidRPr="00D77D56">
        <w:rPr>
          <w:rFonts w:ascii="Arial" w:eastAsia="Times New Roman" w:hAnsi="Arial" w:cs="Arial"/>
          <w:lang w:eastAsia="pl-PL"/>
        </w:rPr>
        <w:t xml:space="preserve"> oraz umowa o dofinansowanie projektu.</w:t>
      </w:r>
    </w:p>
    <w:p w14:paraId="1773D024" w14:textId="12BD112C"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warunki określone w podrozdziale 6.</w:t>
      </w:r>
      <w:r w:rsidR="00E87778">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w:t>
      </w:r>
    </w:p>
    <w:p w14:paraId="5104A3AF" w14:textId="77777777"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pozostałe warunki kwalifikowalności określone w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i w </w:t>
      </w:r>
      <w:r w:rsidRPr="00E87778">
        <w:rPr>
          <w:rFonts w:ascii="Arial" w:eastAsia="Times New Roman" w:hAnsi="Arial" w:cs="Arial"/>
          <w:i/>
          <w:lang w:eastAsia="pl-PL"/>
        </w:rPr>
        <w:t>Katalogu</w:t>
      </w:r>
      <w:r w:rsidRPr="00D77D56">
        <w:rPr>
          <w:rFonts w:ascii="Arial" w:eastAsia="Times New Roman" w:hAnsi="Arial" w:cs="Arial"/>
          <w:lang w:eastAsia="pl-PL"/>
        </w:rPr>
        <w:t xml:space="preserve">, o ile umowa o powierzenie grantu zawarta między beneficjentem projektu grantowego a </w:t>
      </w:r>
      <w:proofErr w:type="spellStart"/>
      <w:r w:rsidRPr="00D77D56">
        <w:rPr>
          <w:rFonts w:ascii="Arial" w:eastAsia="Times New Roman" w:hAnsi="Arial" w:cs="Arial"/>
          <w:lang w:eastAsia="pl-PL"/>
        </w:rPr>
        <w:t>grantobiorcą</w:t>
      </w:r>
      <w:proofErr w:type="spellEnd"/>
      <w:r w:rsidRPr="00D77D56">
        <w:rPr>
          <w:rFonts w:ascii="Arial" w:eastAsia="Times New Roman" w:hAnsi="Arial" w:cs="Arial"/>
          <w:lang w:eastAsia="pl-PL"/>
        </w:rPr>
        <w:t xml:space="preserve"> tak stanowi.</w:t>
      </w:r>
    </w:p>
    <w:p w14:paraId="6E328C60" w14:textId="6DD0928A" w:rsidR="005A373A" w:rsidRDefault="005A373A" w:rsidP="00D77D56">
      <w:pPr>
        <w:pStyle w:val="Nagwek2"/>
        <w:numPr>
          <w:ilvl w:val="1"/>
          <w:numId w:val="1"/>
        </w:numPr>
        <w:spacing w:before="240" w:after="60" w:line="360" w:lineRule="auto"/>
        <w:jc w:val="cente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9" w:name="_Toc429043896"/>
      <w:bookmarkStart w:id="80" w:name="_Toc80890079"/>
      <w:bookmarkEnd w:id="79"/>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80"/>
    </w:p>
    <w:p w14:paraId="4F73176E"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211601DD" w:rsidR="007B47A8" w:rsidRPr="00ED1E1F" w:rsidRDefault="007B47A8"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8"/>
        <w:gridCol w:w="4606"/>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77777777"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lastRenderedPageBreak/>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1" w:name="_Toc80890080"/>
      <w:r w:rsidRPr="007E469E">
        <w:rPr>
          <w:rFonts w:ascii="Arial" w:hAnsi="Arial" w:cs="Arial"/>
          <w:i/>
          <w:color w:val="auto"/>
          <w:sz w:val="24"/>
          <w:szCs w:val="24"/>
        </w:rPr>
        <w:t>Wydatki kwalifikowalne</w:t>
      </w:r>
      <w:bookmarkEnd w:id="81"/>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80890081"/>
      <w:r w:rsidRPr="008D3EC8">
        <w:rPr>
          <w:rFonts w:ascii="Arial" w:hAnsi="Arial" w:cs="Arial"/>
          <w:b w:val="0"/>
          <w:i/>
          <w:color w:val="auto"/>
          <w:sz w:val="24"/>
          <w:szCs w:val="24"/>
        </w:rPr>
        <w:t>Wykaz wydatków kwalifikowalnych ponoszonych na rzecz projektów realizowanych w ramach II osi priorytetowej</w:t>
      </w:r>
      <w:bookmarkEnd w:id="82"/>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F146DA">
      <w:pPr>
        <w:numPr>
          <w:ilvl w:val="0"/>
          <w:numId w:val="34"/>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0610AD">
      <w:pPr>
        <w:pStyle w:val="Akapitzlist"/>
        <w:numPr>
          <w:ilvl w:val="1"/>
          <w:numId w:val="10"/>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0610AD">
      <w:pPr>
        <w:pStyle w:val="Default"/>
        <w:numPr>
          <w:ilvl w:val="0"/>
          <w:numId w:val="19"/>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przygotowania zawartości portali, w tym wydatki na rozbudowę portali,</w:t>
      </w:r>
    </w:p>
    <w:p w14:paraId="7D9A1AEE"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0610AD">
      <w:pPr>
        <w:pStyle w:val="Default"/>
        <w:numPr>
          <w:ilvl w:val="0"/>
          <w:numId w:val="19"/>
        </w:numPr>
        <w:spacing w:before="120" w:after="120" w:line="360" w:lineRule="auto"/>
        <w:jc w:val="both"/>
        <w:rPr>
          <w:color w:val="auto"/>
          <w:sz w:val="22"/>
          <w:szCs w:val="22"/>
        </w:rPr>
      </w:pPr>
      <w:r w:rsidRPr="002D4A8A">
        <w:rPr>
          <w:color w:val="auto"/>
          <w:sz w:val="22"/>
          <w:szCs w:val="22"/>
        </w:rPr>
        <w:lastRenderedPageBreak/>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4"/>
      </w:r>
      <w:r w:rsidRPr="007E469E">
        <w:rPr>
          <w:rFonts w:ascii="Arial" w:eastAsia="Times New Roman" w:hAnsi="Arial" w:cs="Arial"/>
          <w:lang w:eastAsia="pl-PL"/>
        </w:rPr>
        <w:t xml:space="preserve"> </w:t>
      </w:r>
    </w:p>
    <w:p w14:paraId="5D1ED85E"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0610AD">
      <w:pPr>
        <w:pStyle w:val="Default"/>
        <w:numPr>
          <w:ilvl w:val="0"/>
          <w:numId w:val="19"/>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0610AD">
      <w:pPr>
        <w:pStyle w:val="Default"/>
        <w:numPr>
          <w:ilvl w:val="0"/>
          <w:numId w:val="19"/>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146DA">
      <w:pPr>
        <w:pStyle w:val="Default"/>
        <w:numPr>
          <w:ilvl w:val="0"/>
          <w:numId w:val="35"/>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lastRenderedPageBreak/>
        <w:t>utrzymanie sprzętu w okresie realizacji projektu,</w:t>
      </w:r>
    </w:p>
    <w:p w14:paraId="7B7C84CA"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0610AD">
      <w:pPr>
        <w:pStyle w:val="Default"/>
        <w:numPr>
          <w:ilvl w:val="0"/>
          <w:numId w:val="19"/>
        </w:numPr>
        <w:spacing w:before="120" w:after="120" w:line="360" w:lineRule="auto"/>
        <w:jc w:val="both"/>
        <w:rPr>
          <w:color w:val="auto"/>
          <w:sz w:val="22"/>
          <w:szCs w:val="22"/>
        </w:rPr>
      </w:pPr>
      <w:r>
        <w:rPr>
          <w:color w:val="auto"/>
          <w:sz w:val="22"/>
          <w:szCs w:val="22"/>
        </w:rPr>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0610AD">
      <w:pPr>
        <w:pStyle w:val="Akapitzlist"/>
        <w:numPr>
          <w:ilvl w:val="0"/>
          <w:numId w:val="19"/>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lastRenderedPageBreak/>
        <w:t>wydatki na obsługę i serwis wynajmowanego w ramach projektu sprzętu informatycznego,</w:t>
      </w:r>
    </w:p>
    <w:p w14:paraId="6C46CE31" w14:textId="77777777" w:rsidR="00A55CF2" w:rsidRPr="006854B8" w:rsidRDefault="00A55CF2"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0610AD">
      <w:pPr>
        <w:pStyle w:val="Default"/>
        <w:numPr>
          <w:ilvl w:val="0"/>
          <w:numId w:val="19"/>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0610AD">
      <w:pPr>
        <w:pStyle w:val="Default"/>
        <w:numPr>
          <w:ilvl w:val="0"/>
          <w:numId w:val="19"/>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0610AD">
      <w:pPr>
        <w:pStyle w:val="Akapitzlist"/>
        <w:numPr>
          <w:ilvl w:val="1"/>
          <w:numId w:val="10"/>
        </w:numPr>
        <w:spacing w:after="0" w:line="360" w:lineRule="auto"/>
        <w:ind w:hanging="357"/>
        <w:jc w:val="both"/>
        <w:rPr>
          <w:rFonts w:ascii="Arial" w:hAnsi="Arial" w:cs="Arial"/>
        </w:rPr>
      </w:pPr>
      <w:r w:rsidRPr="00804B85">
        <w:rPr>
          <w:rFonts w:ascii="Arial" w:hAnsi="Arial" w:cs="Arial"/>
        </w:rPr>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lastRenderedPageBreak/>
        <w:t xml:space="preserve">zakup nieruchomości zabudowanej, </w:t>
      </w:r>
    </w:p>
    <w:p w14:paraId="2ADF7A5F"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0610AD">
      <w:pPr>
        <w:numPr>
          <w:ilvl w:val="0"/>
          <w:numId w:val="23"/>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0610AD">
      <w:pPr>
        <w:pStyle w:val="Akapitzlist"/>
        <w:numPr>
          <w:ilvl w:val="1"/>
          <w:numId w:val="10"/>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CF30FC">
        <w:rPr>
          <w:color w:val="auto"/>
          <w:sz w:val="22"/>
          <w:szCs w:val="22"/>
        </w:rPr>
        <w:lastRenderedPageBreak/>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146DA">
      <w:pPr>
        <w:pStyle w:val="Default"/>
        <w:numPr>
          <w:ilvl w:val="0"/>
          <w:numId w:val="33"/>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F146DA">
      <w:pPr>
        <w:pStyle w:val="Default"/>
        <w:numPr>
          <w:ilvl w:val="0"/>
          <w:numId w:val="33"/>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5"/>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na informację i promocję nie mogą przekraczać 3% </w:t>
      </w:r>
      <w:r w:rsidR="00804B85">
        <w:rPr>
          <w:color w:val="auto"/>
          <w:sz w:val="22"/>
          <w:szCs w:val="22"/>
        </w:rPr>
        <w:t xml:space="preserve">planowanych </w:t>
      </w:r>
      <w:r w:rsidR="008E14C5" w:rsidRPr="00804B85">
        <w:rPr>
          <w:color w:val="auto"/>
          <w:sz w:val="22"/>
          <w:szCs w:val="22"/>
        </w:rPr>
        <w:t xml:space="preserve">wydatków </w:t>
      </w:r>
      <w:r w:rsidRPr="00804B85">
        <w:rPr>
          <w:color w:val="auto"/>
          <w:sz w:val="22"/>
          <w:szCs w:val="22"/>
        </w:rPr>
        <w:t>kwalifikowalnych projektu</w:t>
      </w:r>
      <w:r w:rsidR="00AB17BC" w:rsidRPr="00804B85">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0610AD">
      <w:pPr>
        <w:pStyle w:val="Akapitzlist"/>
        <w:numPr>
          <w:ilvl w:val="1"/>
          <w:numId w:val="10"/>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F146DA">
      <w:pPr>
        <w:pStyle w:val="Default"/>
        <w:numPr>
          <w:ilvl w:val="0"/>
          <w:numId w:val="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xml:space="preserve">, obsługę w </w:t>
      </w:r>
      <w:r w:rsidR="00CF30FC">
        <w:rPr>
          <w:color w:val="auto"/>
          <w:sz w:val="22"/>
          <w:szCs w:val="22"/>
        </w:rPr>
        <w:lastRenderedPageBreak/>
        <w:t>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F146DA">
      <w:pPr>
        <w:pStyle w:val="Default"/>
        <w:numPr>
          <w:ilvl w:val="0"/>
          <w:numId w:val="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F146DA">
      <w:pPr>
        <w:pStyle w:val="Default"/>
        <w:numPr>
          <w:ilvl w:val="0"/>
          <w:numId w:val="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F146DA">
      <w:pPr>
        <w:pStyle w:val="Default"/>
        <w:numPr>
          <w:ilvl w:val="0"/>
          <w:numId w:val="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 xml:space="preserve">Sytuacja, w której beneficjent jako wkład własny wnosi do projektu wkład niepieniężny, który w ciągu 7 poprzednich lat (dla nieruchomości 10 lat) był </w:t>
      </w:r>
      <w:r w:rsidRPr="00146543">
        <w:rPr>
          <w:color w:val="auto"/>
          <w:sz w:val="22"/>
          <w:szCs w:val="22"/>
        </w:rPr>
        <w:lastRenderedPageBreak/>
        <w:t>współfinansowany ze środków unijnych lub dotacji z krajowych środków publicznych, stanowi podwójne finansowanie i jest niedozwolona.</w:t>
      </w:r>
    </w:p>
    <w:p w14:paraId="6405892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3" w:name="_Toc429043907"/>
      <w:bookmarkStart w:id="84" w:name="_Toc80890082"/>
      <w:bookmarkEnd w:id="83"/>
      <w:r w:rsidRPr="008D3EC8">
        <w:rPr>
          <w:rFonts w:ascii="Arial" w:hAnsi="Arial" w:cs="Arial"/>
          <w:b w:val="0"/>
          <w:i/>
          <w:color w:val="auto"/>
          <w:sz w:val="24"/>
          <w:szCs w:val="24"/>
        </w:rPr>
        <w:t>Dodatkowe wydatki kwalifikowalne w ramach działania 2.2</w:t>
      </w:r>
      <w:bookmarkEnd w:id="84"/>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F146DA">
      <w:pPr>
        <w:pStyle w:val="Akapitzlist"/>
        <w:numPr>
          <w:ilvl w:val="1"/>
          <w:numId w:val="26"/>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804B85">
        <w:rPr>
          <w:color w:val="auto"/>
          <w:sz w:val="22"/>
          <w:szCs w:val="22"/>
        </w:rPr>
        <w:t xml:space="preserve">Wydatki na zakup sprzętu informatycznego oraz uzupełnienie wyposażenia teleinformatycznego nie mogą przekroczyć 30% </w:t>
      </w:r>
      <w:r w:rsidR="00804B85">
        <w:rPr>
          <w:color w:val="auto"/>
          <w:sz w:val="22"/>
          <w:szCs w:val="22"/>
        </w:rPr>
        <w:t xml:space="preserve">planowanych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F146DA">
      <w:pPr>
        <w:pStyle w:val="Akapitzlist"/>
        <w:numPr>
          <w:ilvl w:val="1"/>
          <w:numId w:val="26"/>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F146DA">
      <w:pPr>
        <w:pStyle w:val="Akapitzlist"/>
        <w:numPr>
          <w:ilvl w:val="2"/>
          <w:numId w:val="26"/>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F146DA">
      <w:pPr>
        <w:pStyle w:val="Akapitzlist"/>
        <w:numPr>
          <w:ilvl w:val="1"/>
          <w:numId w:val="26"/>
        </w:numPr>
        <w:spacing w:before="120" w:after="120" w:line="360" w:lineRule="auto"/>
        <w:jc w:val="both"/>
        <w:rPr>
          <w:rFonts w:ascii="Arial" w:eastAsia="MS Mincho" w:hAnsi="Arial" w:cs="Arial"/>
          <w:i/>
          <w:lang w:eastAsia="ja-JP"/>
        </w:rPr>
      </w:pPr>
      <w:r>
        <w:rPr>
          <w:rFonts w:ascii="Arial" w:eastAsia="MS Mincho" w:hAnsi="Arial" w:cs="Arial"/>
          <w:lang w:eastAsia="ja-JP"/>
        </w:rPr>
        <w:lastRenderedPageBreak/>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F146DA">
      <w:pPr>
        <w:pStyle w:val="Akapitzlist"/>
        <w:numPr>
          <w:ilvl w:val="2"/>
          <w:numId w:val="26"/>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F146DA">
      <w:pPr>
        <w:pStyle w:val="Akapitzlist"/>
        <w:numPr>
          <w:ilvl w:val="2"/>
          <w:numId w:val="26"/>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7777777" w:rsidR="00A7373A" w:rsidRPr="00103D76"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5" w:name="_Toc80890083"/>
      <w:r w:rsidRPr="008D3EC8">
        <w:rPr>
          <w:rFonts w:ascii="Arial" w:hAnsi="Arial" w:cs="Arial"/>
          <w:b w:val="0"/>
          <w:i/>
          <w:color w:val="auto"/>
          <w:sz w:val="24"/>
          <w:szCs w:val="24"/>
        </w:rPr>
        <w:t>Dodatkowe wydatki kwalifikowalne w ramach działania 2.3</w:t>
      </w:r>
      <w:bookmarkEnd w:id="85"/>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F146DA">
      <w:pPr>
        <w:pStyle w:val="Akapitzlist"/>
        <w:numPr>
          <w:ilvl w:val="1"/>
          <w:numId w:val="53"/>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lastRenderedPageBreak/>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804B85">
        <w:rPr>
          <w:color w:val="auto"/>
          <w:sz w:val="22"/>
          <w:szCs w:val="22"/>
        </w:rPr>
        <w:t xml:space="preserve">Wydatki na roboty budowlane nie mogą przekraczać 10% </w:t>
      </w:r>
      <w:r w:rsidR="00804B85">
        <w:rPr>
          <w:color w:val="auto"/>
          <w:sz w:val="22"/>
          <w:szCs w:val="22"/>
        </w:rPr>
        <w:t>planowanych</w:t>
      </w:r>
      <w:r w:rsidR="00804B85" w:rsidRPr="00804B85">
        <w:rPr>
          <w:color w:val="auto"/>
          <w:sz w:val="22"/>
          <w:szCs w:val="22"/>
        </w:rPr>
        <w:t xml:space="preserve"> </w:t>
      </w:r>
      <w:r w:rsidR="008E14C5" w:rsidRPr="00804B85">
        <w:rPr>
          <w:color w:val="auto"/>
          <w:sz w:val="22"/>
          <w:szCs w:val="22"/>
        </w:rPr>
        <w:t>wydatków</w:t>
      </w:r>
      <w:r w:rsidRPr="00804B85">
        <w:rPr>
          <w:color w:val="auto"/>
          <w:sz w:val="22"/>
          <w:szCs w:val="22"/>
        </w:rPr>
        <w:t xml:space="preserve"> kwalifikowalnych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Wydatki na informację i promocję nie mogą przekraczać </w:t>
      </w:r>
      <w:r w:rsidRPr="00D032C2">
        <w:rPr>
          <w:color w:val="auto"/>
          <w:sz w:val="22"/>
          <w:szCs w:val="22"/>
        </w:rPr>
        <w:t xml:space="preserve">10% </w:t>
      </w:r>
      <w:r w:rsidR="00D032C2">
        <w:rPr>
          <w:color w:val="auto"/>
          <w:sz w:val="22"/>
          <w:szCs w:val="22"/>
        </w:rPr>
        <w:t>planowanych</w:t>
      </w:r>
      <w:r w:rsidR="00D032C2" w:rsidRPr="00D032C2">
        <w:rPr>
          <w:color w:val="auto"/>
          <w:sz w:val="22"/>
          <w:szCs w:val="22"/>
        </w:rPr>
        <w:t xml:space="preserve"> </w:t>
      </w:r>
      <w:r w:rsidR="008E14C5" w:rsidRPr="00D032C2">
        <w:rPr>
          <w:color w:val="auto"/>
          <w:sz w:val="22"/>
          <w:szCs w:val="22"/>
        </w:rPr>
        <w:t xml:space="preserve">wydatków </w:t>
      </w:r>
      <w:r w:rsidRPr="00D032C2">
        <w:rPr>
          <w:color w:val="auto"/>
          <w:sz w:val="22"/>
          <w:szCs w:val="22"/>
        </w:rPr>
        <w:t>kwalifikowalnych projektu</w:t>
      </w:r>
      <w:r w:rsidR="00D032C2">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F146DA">
      <w:pPr>
        <w:pStyle w:val="Default"/>
        <w:numPr>
          <w:ilvl w:val="1"/>
          <w:numId w:val="53"/>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F146DA">
      <w:pPr>
        <w:pStyle w:val="Default"/>
        <w:numPr>
          <w:ilvl w:val="2"/>
          <w:numId w:val="53"/>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6" w:name="_Toc80890084"/>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6"/>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lastRenderedPageBreak/>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D032C2">
        <w:rPr>
          <w:color w:val="auto"/>
          <w:sz w:val="22"/>
          <w:szCs w:val="22"/>
        </w:rPr>
        <w:t xml:space="preserve">Wydatki na informację i promocję nie mogą przekraczać 3% </w:t>
      </w:r>
      <w:r w:rsidR="00D032C2">
        <w:rPr>
          <w:color w:val="auto"/>
          <w:sz w:val="22"/>
          <w:szCs w:val="22"/>
        </w:rPr>
        <w:t xml:space="preserve">planowanych </w:t>
      </w:r>
      <w:r w:rsidRPr="00D032C2">
        <w:rPr>
          <w:color w:val="auto"/>
          <w:sz w:val="22"/>
          <w:szCs w:val="22"/>
        </w:rPr>
        <w:t>wydatków kwalifikowalnych projektu</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7" w:name="_Toc512510849"/>
      <w:bookmarkStart w:id="88" w:name="_Toc80890085"/>
      <w:bookmarkEnd w:id="87"/>
      <w:r w:rsidRPr="007E469E">
        <w:rPr>
          <w:rFonts w:ascii="Arial" w:hAnsi="Arial" w:cs="Arial"/>
          <w:i/>
          <w:color w:val="auto"/>
          <w:sz w:val="24"/>
          <w:szCs w:val="24"/>
        </w:rPr>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8"/>
      <w:proofErr w:type="spellEnd"/>
    </w:p>
    <w:p w14:paraId="018C47B3"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2BD125E0"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 xml:space="preserve">wydatków kwalifikowalnych projektu. W indywidualnych, </w:t>
      </w:r>
      <w:r w:rsidRPr="00964FDE">
        <w:rPr>
          <w:rFonts w:ascii="Arial" w:eastAsia="MS Mincho" w:hAnsi="Arial" w:cs="Arial"/>
          <w:lang w:eastAsia="ja-JP"/>
        </w:rPr>
        <w:lastRenderedPageBreak/>
        <w:t>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7ED9C6F2" w14:textId="77777777" w:rsidR="00964FDE" w:rsidRPr="00285F07"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0610AD">
      <w:pPr>
        <w:pStyle w:val="Akapitzlist"/>
        <w:numPr>
          <w:ilvl w:val="1"/>
          <w:numId w:val="18"/>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0610AD">
      <w:pPr>
        <w:pStyle w:val="Akapitzlist"/>
        <w:numPr>
          <w:ilvl w:val="1"/>
          <w:numId w:val="18"/>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0610AD">
      <w:pPr>
        <w:pStyle w:val="Akapitzlist"/>
        <w:numPr>
          <w:ilvl w:val="1"/>
          <w:numId w:val="18"/>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0610AD">
      <w:pPr>
        <w:pStyle w:val="Akapitzlist"/>
        <w:numPr>
          <w:ilvl w:val="1"/>
          <w:numId w:val="18"/>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80890086"/>
      <w:r w:rsidRPr="007E469E">
        <w:rPr>
          <w:rFonts w:ascii="Arial" w:hAnsi="Arial" w:cs="Arial"/>
          <w:i/>
          <w:color w:val="auto"/>
          <w:sz w:val="24"/>
          <w:szCs w:val="24"/>
        </w:rPr>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F146DA">
      <w:pPr>
        <w:pStyle w:val="Akapitzlist"/>
        <w:numPr>
          <w:ilvl w:val="0"/>
          <w:numId w:val="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0610AD">
      <w:pPr>
        <w:pStyle w:val="Akapitzlist"/>
        <w:numPr>
          <w:ilvl w:val="0"/>
          <w:numId w:val="17"/>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0610AD">
      <w:pPr>
        <w:pStyle w:val="Akapitzlist"/>
        <w:numPr>
          <w:ilvl w:val="0"/>
          <w:numId w:val="17"/>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lastRenderedPageBreak/>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F146DA">
      <w:pPr>
        <w:pStyle w:val="Akapitzlist"/>
        <w:numPr>
          <w:ilvl w:val="0"/>
          <w:numId w:val="45"/>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F146DA">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2CB8FCB1" w14:textId="77777777" w:rsidR="006854B8" w:rsidRPr="00285F07" w:rsidRDefault="006854B8" w:rsidP="00F146DA">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2209EB36" w14:textId="77777777" w:rsidR="00B052AB" w:rsidRDefault="00B052AB">
      <w:pPr>
        <w:rPr>
          <w:rFonts w:ascii="Arial" w:eastAsia="MS Mincho" w:hAnsi="Arial" w:cs="Arial"/>
          <w:lang w:eastAsia="ja-JP"/>
        </w:rPr>
      </w:pPr>
    </w:p>
    <w:p w14:paraId="71914CA2" w14:textId="77777777" w:rsidR="00B052AB" w:rsidRDefault="00B052AB">
      <w:pPr>
        <w:rPr>
          <w:rFonts w:ascii="Arial" w:eastAsia="MS Mincho" w:hAnsi="Arial" w:cs="Arial"/>
          <w:lang w:eastAsia="ja-JP"/>
        </w:rPr>
      </w:pP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80890087"/>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F146DA">
      <w:pPr>
        <w:numPr>
          <w:ilvl w:val="0"/>
          <w:numId w:val="50"/>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F146DA">
      <w:pPr>
        <w:numPr>
          <w:ilvl w:val="1"/>
          <w:numId w:val="34"/>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F146DA">
      <w:pPr>
        <w:pStyle w:val="Akapitzlist"/>
        <w:numPr>
          <w:ilvl w:val="2"/>
          <w:numId w:val="34"/>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F146DA">
      <w:pPr>
        <w:numPr>
          <w:ilvl w:val="2"/>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F146DA">
      <w:pPr>
        <w:numPr>
          <w:ilvl w:val="2"/>
          <w:numId w:val="34"/>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F146DA">
      <w:pPr>
        <w:numPr>
          <w:ilvl w:val="0"/>
          <w:numId w:val="51"/>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lastRenderedPageBreak/>
        <w:t>poniesione w związku z organizacją konferencji promujących projekt,</w:t>
      </w:r>
    </w:p>
    <w:p w14:paraId="11442901"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t>poniesione w związku z realizacją działań informacyjno-promocyjnych, w tym m.in. kampanii, promocji w mediach elektronicznych i tradycyjnych,</w:t>
      </w:r>
    </w:p>
    <w:p w14:paraId="7EE5CBDF"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Wydatki na informację i promocję</w:t>
      </w:r>
      <w:r w:rsidRPr="00B052AB">
        <w:rPr>
          <w:rFonts w:ascii="Arial" w:hAnsi="Arial" w:cs="Arial"/>
        </w:rPr>
        <w:t xml:space="preserve"> nie mogą przekraczać </w:t>
      </w:r>
      <w:r w:rsidRPr="00D032C2">
        <w:rPr>
          <w:rFonts w:ascii="Arial" w:hAnsi="Arial" w:cs="Arial"/>
        </w:rPr>
        <w:t xml:space="preserve">15% </w:t>
      </w:r>
      <w:r w:rsidR="00D032C2">
        <w:rPr>
          <w:rFonts w:ascii="Arial" w:hAnsi="Arial" w:cs="Arial"/>
        </w:rPr>
        <w:t xml:space="preserve">planowanych </w:t>
      </w:r>
      <w:r w:rsidRPr="00D032C2">
        <w:rPr>
          <w:rFonts w:ascii="Arial" w:hAnsi="Arial" w:cs="Arial"/>
        </w:rPr>
        <w:t>wydatków kwalifikowalnych projektu</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F146DA">
      <w:pPr>
        <w:numPr>
          <w:ilvl w:val="0"/>
          <w:numId w:val="52"/>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F146DA">
      <w:pPr>
        <w:numPr>
          <w:ilvl w:val="0"/>
          <w:numId w:val="52"/>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lastRenderedPageBreak/>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04B178DF" w14:textId="5171B797" w:rsidR="00D77D56" w:rsidRDefault="00BF6D62" w:rsidP="00F146DA">
      <w:pPr>
        <w:numPr>
          <w:ilvl w:val="0"/>
          <w:numId w:val="50"/>
        </w:numPr>
        <w:autoSpaceDE w:val="0"/>
        <w:autoSpaceDN w:val="0"/>
        <w:adjustRightInd w:val="0"/>
        <w:spacing w:before="120" w:after="120" w:line="360" w:lineRule="auto"/>
        <w:jc w:val="both"/>
        <w:rPr>
          <w:rFonts w:ascii="Arial" w:hAnsi="Arial" w:cs="Arial"/>
        </w:rPr>
      </w:pPr>
      <w:r w:rsidRPr="00BF6D62">
        <w:rPr>
          <w:rFonts w:ascii="Arial" w:hAnsi="Arial" w:cs="Arial"/>
        </w:rPr>
        <w:t xml:space="preserve">W ramach </w:t>
      </w:r>
      <w:r w:rsidR="00D77D56">
        <w:rPr>
          <w:rFonts w:ascii="Arial" w:hAnsi="Arial" w:cs="Arial"/>
        </w:rPr>
        <w:t xml:space="preserve">działania mogą być realizowane </w:t>
      </w:r>
      <w:r w:rsidRPr="00BF6D62">
        <w:rPr>
          <w:rFonts w:ascii="Arial" w:hAnsi="Arial" w:cs="Arial"/>
        </w:rPr>
        <w:t>projekty grantowe, o których mowa w podrozdziale, 3.1</w:t>
      </w:r>
      <w:r w:rsidR="00D77D56">
        <w:rPr>
          <w:rFonts w:ascii="Arial" w:hAnsi="Arial" w:cs="Arial"/>
        </w:rPr>
        <w:t>1</w:t>
      </w:r>
      <w:r w:rsidRPr="00BF6D62">
        <w:rPr>
          <w:rFonts w:ascii="Arial" w:hAnsi="Arial" w:cs="Arial"/>
        </w:rPr>
        <w:t xml:space="preserve"> niniejszego </w:t>
      </w:r>
      <w:r w:rsidRPr="001F1754">
        <w:rPr>
          <w:rFonts w:ascii="Arial" w:hAnsi="Arial" w:cs="Arial"/>
          <w:i/>
        </w:rPr>
        <w:t>Katalogu</w:t>
      </w:r>
      <w:r w:rsidRPr="00BF6D62">
        <w:rPr>
          <w:rFonts w:ascii="Arial" w:hAnsi="Arial" w:cs="Arial"/>
        </w:rPr>
        <w:t xml:space="preserve">. </w:t>
      </w:r>
    </w:p>
    <w:p w14:paraId="0096D1D2" w14:textId="77777777" w:rsidR="000E37AA" w:rsidRDefault="00BF6D62" w:rsidP="00D77D56">
      <w:pPr>
        <w:autoSpaceDE w:val="0"/>
        <w:autoSpaceDN w:val="0"/>
        <w:adjustRightInd w:val="0"/>
        <w:spacing w:after="0" w:line="360" w:lineRule="auto"/>
        <w:ind w:left="284"/>
        <w:jc w:val="both"/>
        <w:rPr>
          <w:rFonts w:ascii="Arial" w:hAnsi="Arial" w:cs="Arial"/>
        </w:rPr>
      </w:pPr>
      <w:r w:rsidRPr="00BF6D62">
        <w:rPr>
          <w:rFonts w:ascii="Arial" w:hAnsi="Arial" w:cs="Arial"/>
        </w:rPr>
        <w:t>Do</w:t>
      </w:r>
      <w:r w:rsidR="00D77D56">
        <w:rPr>
          <w:rFonts w:ascii="Arial" w:hAnsi="Arial" w:cs="Arial"/>
        </w:rPr>
        <w:t xml:space="preserve">datkowo w ramach takich projektów </w:t>
      </w:r>
      <w:r w:rsidRPr="00BF6D62">
        <w:rPr>
          <w:rFonts w:ascii="Arial" w:hAnsi="Arial" w:cs="Arial"/>
        </w:rPr>
        <w:t>wydatk</w:t>
      </w:r>
      <w:r w:rsidR="00D77D56">
        <w:rPr>
          <w:rFonts w:ascii="Arial" w:hAnsi="Arial" w:cs="Arial"/>
        </w:rPr>
        <w:t xml:space="preserve">ami </w:t>
      </w:r>
      <w:r w:rsidRPr="00BF6D62">
        <w:rPr>
          <w:rFonts w:ascii="Arial" w:hAnsi="Arial" w:cs="Arial"/>
        </w:rPr>
        <w:t>kwalifikowalny</w:t>
      </w:r>
      <w:r w:rsidR="00D77D56">
        <w:rPr>
          <w:rFonts w:ascii="Arial" w:hAnsi="Arial" w:cs="Arial"/>
        </w:rPr>
        <w:t xml:space="preserve">mi są wydatki poniesione na </w:t>
      </w:r>
      <w:r w:rsidRPr="00BF6D62">
        <w:rPr>
          <w:rFonts w:ascii="Arial" w:hAnsi="Arial" w:cs="Arial"/>
        </w:rPr>
        <w:t xml:space="preserve">granty na rzecz </w:t>
      </w:r>
      <w:proofErr w:type="spellStart"/>
      <w:r w:rsidRPr="00BF6D62">
        <w:rPr>
          <w:rFonts w:ascii="Arial" w:hAnsi="Arial" w:cs="Arial"/>
        </w:rPr>
        <w:t>grantobiorców</w:t>
      </w:r>
      <w:proofErr w:type="spellEnd"/>
      <w:r w:rsidRPr="00BF6D62">
        <w:rPr>
          <w:rFonts w:ascii="Arial" w:hAnsi="Arial" w:cs="Arial"/>
        </w:rPr>
        <w:t xml:space="preserve"> rozliczane przez beneficjenta projektu grantowego zgodnie z umową o powierzenie grantu oraz procedurami dotyczącymi realizacji projektu grantowego</w:t>
      </w:r>
      <w:r w:rsidR="001F1754">
        <w:rPr>
          <w:rFonts w:ascii="Arial" w:hAnsi="Arial" w:cs="Arial"/>
        </w:rPr>
        <w:t>.</w:t>
      </w:r>
      <w:r w:rsidR="00E12101">
        <w:rPr>
          <w:rFonts w:ascii="Arial" w:hAnsi="Arial" w:cs="Arial"/>
        </w:rPr>
        <w:t xml:space="preserve"> </w:t>
      </w:r>
    </w:p>
    <w:p w14:paraId="6AE8E9E0" w14:textId="77777777" w:rsidR="00ED02B4" w:rsidRDefault="00E12101" w:rsidP="00D77D56">
      <w:pPr>
        <w:autoSpaceDE w:val="0"/>
        <w:autoSpaceDN w:val="0"/>
        <w:adjustRightInd w:val="0"/>
        <w:spacing w:after="0" w:line="360" w:lineRule="auto"/>
        <w:ind w:left="284"/>
        <w:jc w:val="both"/>
        <w:rPr>
          <w:rFonts w:ascii="Arial" w:hAnsi="Arial" w:cs="Arial"/>
        </w:rPr>
      </w:pPr>
      <w:r w:rsidRPr="00C070B2">
        <w:rPr>
          <w:rFonts w:ascii="Arial" w:hAnsi="Arial" w:cs="Arial"/>
        </w:rPr>
        <w:t>W ramach grantu</w:t>
      </w:r>
      <w:r>
        <w:rPr>
          <w:rFonts w:ascii="Arial" w:hAnsi="Arial" w:cs="Arial"/>
        </w:rPr>
        <w:t xml:space="preserve"> </w:t>
      </w:r>
      <w:r w:rsidRPr="00C070B2">
        <w:rPr>
          <w:rFonts w:ascii="Arial" w:hAnsi="Arial" w:cs="Arial"/>
        </w:rPr>
        <w:t>wydatki mogą być przeznaczone na</w:t>
      </w:r>
      <w:r>
        <w:rPr>
          <w:rFonts w:ascii="Arial" w:hAnsi="Arial" w:cs="Arial"/>
        </w:rPr>
        <w:t xml:space="preserve"> zakup licencji na </w:t>
      </w:r>
      <w:r w:rsidR="0014796E">
        <w:rPr>
          <w:rFonts w:ascii="Arial" w:hAnsi="Arial" w:cs="Arial"/>
        </w:rPr>
        <w:t>testowanie</w:t>
      </w:r>
      <w:r>
        <w:rPr>
          <w:rFonts w:ascii="Arial" w:hAnsi="Arial" w:cs="Arial"/>
        </w:rPr>
        <w:t xml:space="preserve"> rozwiązania informatycznego. </w:t>
      </w:r>
    </w:p>
    <w:p w14:paraId="1B9815A4" w14:textId="77777777" w:rsidR="00ED02B4" w:rsidRDefault="00ED02B4" w:rsidP="00D77D56">
      <w:pPr>
        <w:autoSpaceDE w:val="0"/>
        <w:autoSpaceDN w:val="0"/>
        <w:adjustRightInd w:val="0"/>
        <w:spacing w:after="0" w:line="360" w:lineRule="auto"/>
        <w:ind w:left="284"/>
        <w:jc w:val="both"/>
        <w:rPr>
          <w:rFonts w:ascii="Arial" w:hAnsi="Arial" w:cs="Arial"/>
        </w:rPr>
      </w:pPr>
    </w:p>
    <w:p w14:paraId="48806D1B" w14:textId="77777777" w:rsidR="00ED02B4" w:rsidRDefault="00ED02B4" w:rsidP="00ED02B4">
      <w:pPr>
        <w:pStyle w:val="Nagwek3"/>
        <w:numPr>
          <w:ilvl w:val="2"/>
          <w:numId w:val="1"/>
        </w:numPr>
        <w:spacing w:before="240" w:after="60" w:line="360" w:lineRule="auto"/>
        <w:jc w:val="center"/>
        <w:rPr>
          <w:rFonts w:ascii="Arial" w:hAnsi="Arial" w:cs="Arial"/>
          <w:b w:val="0"/>
          <w:i/>
          <w:color w:val="auto"/>
          <w:sz w:val="24"/>
          <w:szCs w:val="24"/>
        </w:rPr>
      </w:pPr>
      <w:bookmarkStart w:id="95" w:name="_Toc80890088"/>
      <w:r w:rsidRPr="00ED02B4">
        <w:rPr>
          <w:rFonts w:ascii="Arial" w:hAnsi="Arial" w:cs="Arial"/>
          <w:b w:val="0"/>
          <w:i/>
          <w:color w:val="auto"/>
          <w:sz w:val="24"/>
          <w:szCs w:val="24"/>
        </w:rPr>
        <w:t>Wydatki kwalifikowalne dla projektu pilotażowego realizowanego w działaniu 2.4 „Tworzenie usług i aplikacji wykorzystujących e-usługi publiczne i informacje sektora publicznego” w trybie pozakonkursowym w ramach naboru POPC.02.04.00-IP.01-00-003/21</w:t>
      </w:r>
      <w:bookmarkEnd w:id="95"/>
    </w:p>
    <w:p w14:paraId="26E88342" w14:textId="140CD283"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Wydatki wymienione w poniższej sekcji stanowią zamknięty katalog wydatków możliwych do poniesienia w ramach </w:t>
      </w:r>
      <w:r>
        <w:rPr>
          <w:rFonts w:ascii="Arial" w:hAnsi="Arial" w:cs="Arial"/>
        </w:rPr>
        <w:t xml:space="preserve">naboru </w:t>
      </w:r>
      <w:r w:rsidRPr="00ED02B4">
        <w:rPr>
          <w:rFonts w:ascii="Arial" w:hAnsi="Arial" w:cs="Arial"/>
        </w:rPr>
        <w:t>POPC.02.04.00-IP.01-00-003/21</w:t>
      </w:r>
      <w:r>
        <w:rPr>
          <w:rFonts w:ascii="Arial" w:hAnsi="Arial" w:cs="Arial"/>
        </w:rPr>
        <w:t xml:space="preserve"> dla </w:t>
      </w:r>
      <w:r w:rsidRPr="00ED02B4">
        <w:rPr>
          <w:rFonts w:ascii="Arial" w:hAnsi="Arial" w:cs="Arial"/>
        </w:rPr>
        <w:t xml:space="preserve">działania 2.4, uznaje się je za kwalifikowalne, o ile poniesione zostały w okresie od 1 stycznia 2014 r. do 31 grudnia 2023 r., chyba że umowa o dofinansowanie projektu stanowi inaczej. </w:t>
      </w:r>
    </w:p>
    <w:p w14:paraId="410046BB" w14:textId="77777777" w:rsidR="00ED02B4" w:rsidRPr="00ED02B4" w:rsidRDefault="00ED02B4" w:rsidP="00C17A9B">
      <w:pPr>
        <w:numPr>
          <w:ilvl w:val="0"/>
          <w:numId w:val="59"/>
        </w:numPr>
        <w:autoSpaceDE w:val="0"/>
        <w:autoSpaceDN w:val="0"/>
        <w:adjustRightInd w:val="0"/>
        <w:spacing w:before="120" w:after="120" w:line="360" w:lineRule="auto"/>
        <w:jc w:val="both"/>
        <w:rPr>
          <w:rFonts w:ascii="Arial" w:hAnsi="Arial" w:cs="Arial"/>
        </w:rPr>
      </w:pPr>
      <w:r w:rsidRPr="00ED02B4">
        <w:rPr>
          <w:rFonts w:ascii="Arial" w:hAnsi="Arial" w:cs="Arial"/>
        </w:rPr>
        <w:t>Za kwalifikowalne uznaje się następujące wydatki w ramach poniższych kategorii i podkategorii:</w:t>
      </w:r>
    </w:p>
    <w:p w14:paraId="42A63FE9" w14:textId="77777777" w:rsidR="00ED02B4" w:rsidRPr="00ED02B4" w:rsidRDefault="00ED02B4" w:rsidP="00C17A9B">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Środki trwałe i wartości niematerialne i prawne</w:t>
      </w:r>
    </w:p>
    <w:p w14:paraId="7EEEAE86"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hAnsi="Arial" w:cs="Arial"/>
        </w:rPr>
        <w:t>Oprogramowanie</w:t>
      </w:r>
    </w:p>
    <w:p w14:paraId="25AA459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 wydatki na pokrycie kosztów stworzenia, zakupu, leasingu, dzierżawy i najmu oprogramowania, wydatki na wdrożenie oprogramowania,</w:t>
      </w:r>
    </w:p>
    <w:p w14:paraId="103B7AF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rozbudowę i aktualizację istniejącego oprogramowania,</w:t>
      </w:r>
    </w:p>
    <w:p w14:paraId="54E8D41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prac instalacyjnych, konfiguracyjnych i optymalizacyjnych,</w:t>
      </w:r>
    </w:p>
    <w:p w14:paraId="031D039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przygotowania zawartości portali, w tym wydatki na rozbudowę portali,</w:t>
      </w:r>
    </w:p>
    <w:p w14:paraId="0B20A403"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wydatki na budowę lub rozbudowę zabezpieczeń logicznych (firewall, systemy IDS, IPS),</w:t>
      </w:r>
    </w:p>
    <w:p w14:paraId="7E40B1D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zakup narzędzi warstwy programowej niezbędnych dla zapewnienia bezpieczeństwa przesyłanych informacji oraz identyfikacji (np. elektronicznego poświadczania tożsamości), </w:t>
      </w:r>
    </w:p>
    <w:p w14:paraId="12F4C459"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531D36C4"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Przy zakupie, modernizacji, aktualizacji bądź stworzeniu oprogramowania kwalifikowalne są wydatki  zakupu, rozszerzenia i aktualizacji licencji lub przejęcia autorskich praw majątkowych. </w:t>
      </w:r>
    </w:p>
    <w:p w14:paraId="22CACC08"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eastAsia="Times New Roman" w:hAnsi="Arial" w:cs="Arial"/>
          <w:lang w:eastAsia="pl-PL"/>
        </w:rPr>
        <w:t>Sprzęt informatyczny</w:t>
      </w:r>
      <w:r w:rsidRPr="00ED02B4">
        <w:rPr>
          <w:vertAlign w:val="superscript"/>
          <w:lang w:eastAsia="pl-PL"/>
        </w:rPr>
        <w:footnoteReference w:id="16"/>
      </w:r>
      <w:r w:rsidRPr="00ED02B4">
        <w:rPr>
          <w:rFonts w:ascii="Arial" w:eastAsia="Times New Roman" w:hAnsi="Arial" w:cs="Arial"/>
          <w:lang w:eastAsia="pl-PL"/>
        </w:rPr>
        <w:t xml:space="preserve"> </w:t>
      </w:r>
    </w:p>
    <w:p w14:paraId="590205AD" w14:textId="44177E19"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sprzętu informatycznego,</w:t>
      </w:r>
    </w:p>
    <w:p w14:paraId="3DA0B59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urządzenia sieciowe i osprzęt sieciowy pozwalający na przyłączenie do szerokopasmowego </w:t>
      </w:r>
      <w:proofErr w:type="spellStart"/>
      <w:r w:rsidRPr="00ED02B4">
        <w:rPr>
          <w:rFonts w:ascii="Arial" w:hAnsi="Arial" w:cs="Arial"/>
        </w:rPr>
        <w:t>internetu</w:t>
      </w:r>
      <w:proofErr w:type="spellEnd"/>
      <w:r w:rsidRPr="00ED02B4">
        <w:rPr>
          <w:rFonts w:ascii="Arial" w:hAnsi="Arial" w:cs="Arial"/>
        </w:rPr>
        <w:t xml:space="preserve">, </w:t>
      </w:r>
    </w:p>
    <w:p w14:paraId="5962F90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modernizację sprzętu informatycznego w zakresie w jakim jest to niezbędne do realizacji projektu,</w:t>
      </w:r>
    </w:p>
    <w:p w14:paraId="44F7A07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utrzymanie sprzętu w okresie realizacji projektu,</w:t>
      </w:r>
    </w:p>
    <w:p w14:paraId="6AD2B2F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leasing sprzętu informatycznego,</w:t>
      </w:r>
    </w:p>
    <w:p w14:paraId="3027A19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najem sprzętu informatycznego,</w:t>
      </w:r>
    </w:p>
    <w:p w14:paraId="7B6FEAC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dzierżawę sprzętu informatycznego,</w:t>
      </w:r>
    </w:p>
    <w:p w14:paraId="0F8E15C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sprzętu informatycznego z zachowaniem zasad ogólnych dotyczących amortyzacji danego rodzaju środków trwałych w zakresie i w czasie, w jakim są one wykorzystywane do realizacji projektu,</w:t>
      </w:r>
    </w:p>
    <w:p w14:paraId="58E74717"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narzędzi warstwy sprzętowej niezbędnych dla zapewnienia bezpieczeństwa przesyłanych informacji oraz identyfikacji (np. elektronicznego poświadczania tożsamości).</w:t>
      </w:r>
    </w:p>
    <w:p w14:paraId="3B9F3398" w14:textId="77777777" w:rsidR="00ED02B4" w:rsidRPr="00ED02B4" w:rsidRDefault="00ED02B4" w:rsidP="00ED02B4">
      <w:pPr>
        <w:autoSpaceDE w:val="0"/>
        <w:autoSpaceDN w:val="0"/>
        <w:adjustRightInd w:val="0"/>
        <w:spacing w:before="120" w:after="120" w:line="360" w:lineRule="auto"/>
        <w:jc w:val="both"/>
        <w:rPr>
          <w:rFonts w:ascii="Arial" w:hAnsi="Arial" w:cs="Arial"/>
        </w:rPr>
      </w:pPr>
      <w:r w:rsidRPr="00ED02B4">
        <w:rPr>
          <w:rFonts w:ascii="Arial" w:hAnsi="Arial" w:cs="Arial"/>
        </w:rPr>
        <w:t>Do ww. kosztów zalicza się koszty transportu do miejsca realizacji operacji materiałów służących realizacji operacji oraz urządzeń i sprzętu objętych operacją, a także koszty montażu.</w:t>
      </w:r>
    </w:p>
    <w:p w14:paraId="246A71B2"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zewnętrzne</w:t>
      </w:r>
    </w:p>
    <w:p w14:paraId="22987C6D"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Przygotowanie projektu</w:t>
      </w:r>
    </w:p>
    <w:p w14:paraId="4EEA355E" w14:textId="77777777" w:rsidR="00ED02B4" w:rsidRPr="00ED02B4" w:rsidRDefault="00ED02B4" w:rsidP="00F146DA">
      <w:pPr>
        <w:numPr>
          <w:ilvl w:val="0"/>
          <w:numId w:val="54"/>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dokumentacja techniczna, finansowa o ile jej opracowanie jest niezbędne do przygotowania lub realizacji projektu, z wyjątkiem wypełnienia formularza wniosku o dofinansowanie,</w:t>
      </w:r>
    </w:p>
    <w:p w14:paraId="0A0E33D7" w14:textId="77777777" w:rsidR="00ED02B4" w:rsidRPr="00ED02B4" w:rsidRDefault="00ED02B4" w:rsidP="00F146DA">
      <w:pPr>
        <w:numPr>
          <w:ilvl w:val="0"/>
          <w:numId w:val="54"/>
        </w:numPr>
        <w:spacing w:after="0" w:line="240" w:lineRule="auto"/>
        <w:ind w:left="1134" w:hanging="425"/>
        <w:contextualSpacing/>
        <w:jc w:val="both"/>
        <w:rPr>
          <w:rFonts w:ascii="Arial" w:eastAsia="Times New Roman" w:hAnsi="Arial" w:cs="Arial"/>
          <w:lang w:eastAsia="pl-PL"/>
        </w:rPr>
      </w:pPr>
      <w:r w:rsidRPr="00ED02B4">
        <w:rPr>
          <w:rFonts w:ascii="Arial" w:eastAsia="Times New Roman" w:hAnsi="Arial" w:cs="Arial"/>
          <w:lang w:eastAsia="pl-PL"/>
        </w:rPr>
        <w:t>dokumentacja przetargowa.</w:t>
      </w:r>
    </w:p>
    <w:p w14:paraId="5DE766AB" w14:textId="77777777" w:rsidR="00ED02B4" w:rsidRPr="00ED02B4" w:rsidRDefault="00ED02B4" w:rsidP="00ED02B4">
      <w:pPr>
        <w:spacing w:after="0" w:line="240" w:lineRule="auto"/>
        <w:ind w:left="1134"/>
        <w:contextualSpacing/>
        <w:jc w:val="both"/>
        <w:rPr>
          <w:rFonts w:ascii="Arial" w:eastAsia="Times New Roman" w:hAnsi="Arial" w:cs="Arial"/>
          <w:lang w:eastAsia="pl-PL"/>
        </w:rPr>
      </w:pPr>
    </w:p>
    <w:p w14:paraId="115A845E"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informatyczne</w:t>
      </w:r>
    </w:p>
    <w:p w14:paraId="5894C03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opiekę serwisową posprzedażową (</w:t>
      </w:r>
      <w:proofErr w:type="spellStart"/>
      <w:r w:rsidRPr="00ED02B4">
        <w:rPr>
          <w:rFonts w:ascii="Arial" w:hAnsi="Arial" w:cs="Arial"/>
        </w:rPr>
        <w:t>maintenance</w:t>
      </w:r>
      <w:proofErr w:type="spellEnd"/>
      <w:r w:rsidRPr="00ED02B4">
        <w:rPr>
          <w:rFonts w:ascii="Arial" w:hAnsi="Arial" w:cs="Arial"/>
        </w:rPr>
        <w:t>) oprogramowania,</w:t>
      </w:r>
    </w:p>
    <w:p w14:paraId="5DA0104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utrzymania domen (platform) i portali,</w:t>
      </w:r>
    </w:p>
    <w:p w14:paraId="609D09A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usług: zapewnienia dostępu do sieci Internet, hostingu, kolokacji i innych,</w:t>
      </w:r>
    </w:p>
    <w:p w14:paraId="0388E6D3"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zakup usług przetwarzania w chmurze obliczeniowej typu IaaS, SaaS, PaaS,</w:t>
      </w:r>
    </w:p>
    <w:p w14:paraId="360BF03D"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usługi audytu zewnętrznego w zakresie oprogramowania oraz audyty dostępności treści pod katem zgodności z WCAG 2.0.</w:t>
      </w:r>
    </w:p>
    <w:p w14:paraId="030C27DC" w14:textId="77777777" w:rsidR="00ED02B4" w:rsidRPr="00ED02B4" w:rsidRDefault="00ED02B4" w:rsidP="00F146DA">
      <w:pPr>
        <w:numPr>
          <w:ilvl w:val="2"/>
          <w:numId w:val="58"/>
        </w:numPr>
        <w:spacing w:before="120" w:after="120" w:line="360" w:lineRule="auto"/>
        <w:contextualSpacing/>
        <w:jc w:val="both"/>
        <w:rPr>
          <w:rFonts w:ascii="Arial" w:eastAsia="Times New Roman" w:hAnsi="Arial" w:cs="Arial"/>
          <w:lang w:eastAsia="pl-PL"/>
        </w:rPr>
      </w:pPr>
      <w:r w:rsidRPr="00ED02B4">
        <w:rPr>
          <w:rFonts w:ascii="Arial" w:eastAsia="Times New Roman" w:hAnsi="Arial" w:cs="Arial"/>
          <w:lang w:eastAsia="pl-PL"/>
        </w:rPr>
        <w:t xml:space="preserve">Usługi wspomagające realizację projektu </w:t>
      </w:r>
    </w:p>
    <w:p w14:paraId="0461D24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doradcze w trakcie realizacji projektu, w tym zapewnienie wsparcia technicznego, </w:t>
      </w:r>
    </w:p>
    <w:p w14:paraId="37CCBFD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ekspertyzy prawne, badania i analizy techniczne, finansowe, ekonomiczne oraz w zakresie wdrażania krajowych i międzynarodowych standardów,</w:t>
      </w:r>
    </w:p>
    <w:p w14:paraId="44E887F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usługi prawne,</w:t>
      </w:r>
    </w:p>
    <w:p w14:paraId="27B4FCBA"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tłumaczenia,</w:t>
      </w:r>
    </w:p>
    <w:p w14:paraId="655037E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księgowe, </w:t>
      </w:r>
    </w:p>
    <w:p w14:paraId="517E361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audytu zewnętrznego , </w:t>
      </w:r>
    </w:p>
    <w:p w14:paraId="71EE1CF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zakup ogłoszeń prasowych (nie dotyczących promocji), </w:t>
      </w:r>
    </w:p>
    <w:p w14:paraId="56DB3A27" w14:textId="6BE62612"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przypadku, gdy dana usługa nie jest bezpośrednio związana z głównymi celami i produktami projektu wydatek powinien zostać wykazany w ramach kategorii </w:t>
      </w:r>
      <w:r w:rsidRPr="00ED02B4">
        <w:rPr>
          <w:rFonts w:ascii="Arial" w:hAnsi="Arial" w:cs="Arial"/>
          <w:i/>
        </w:rPr>
        <w:t>Wydatki poniesione na pokrycie kosztów pośrednich</w:t>
      </w:r>
      <w:r w:rsidRPr="00ED02B4">
        <w:rPr>
          <w:rFonts w:ascii="Arial" w:hAnsi="Arial" w:cs="Arial"/>
        </w:rPr>
        <w:t xml:space="preserve"> np. ogłoszenia w prasie dotyczące wyboru wykonawców, ekspertyzy i usługi prawne z zakresu </w:t>
      </w:r>
      <w:proofErr w:type="spellStart"/>
      <w:r w:rsidR="002D5AE4">
        <w:rPr>
          <w:rFonts w:ascii="Arial" w:hAnsi="Arial" w:cs="Arial"/>
        </w:rPr>
        <w:t>P</w:t>
      </w:r>
      <w:r w:rsidRPr="00ED02B4">
        <w:rPr>
          <w:rFonts w:ascii="Arial" w:hAnsi="Arial" w:cs="Arial"/>
        </w:rPr>
        <w:t>zp</w:t>
      </w:r>
      <w:proofErr w:type="spellEnd"/>
      <w:r w:rsidRPr="00ED02B4">
        <w:rPr>
          <w:rFonts w:ascii="Arial" w:hAnsi="Arial" w:cs="Arial"/>
        </w:rPr>
        <w:t>, usługi kopiowania dokumentów na potrzeby kontroli czy usługi doradcze z zakresu zarządzania projektem itp.</w:t>
      </w:r>
    </w:p>
    <w:p w14:paraId="3352CA01"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Roboty budowlane </w:t>
      </w:r>
    </w:p>
    <w:p w14:paraId="0A1C480E"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lastRenderedPageBreak/>
        <w:t>wydatki na pokrycie kosztów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7A0503B2"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2D6BAFDD" w14:textId="77777777" w:rsidR="00ED02B4" w:rsidRPr="00ED02B4" w:rsidRDefault="00ED02B4" w:rsidP="00ED02B4">
      <w:pPr>
        <w:autoSpaceDE w:val="0"/>
        <w:autoSpaceDN w:val="0"/>
        <w:adjustRightInd w:val="0"/>
        <w:spacing w:before="120" w:after="120" w:line="360" w:lineRule="auto"/>
        <w:ind w:left="1134"/>
        <w:contextualSpacing/>
        <w:jc w:val="both"/>
        <w:rPr>
          <w:rFonts w:ascii="Arial" w:hAnsi="Arial" w:cs="Arial"/>
        </w:rPr>
      </w:pPr>
    </w:p>
    <w:p w14:paraId="17466FDA" w14:textId="3D1F6C65" w:rsidR="00ED02B4" w:rsidRPr="002D5AE4" w:rsidRDefault="00ED02B4" w:rsidP="00F146DA">
      <w:pPr>
        <w:numPr>
          <w:ilvl w:val="1"/>
          <w:numId w:val="58"/>
        </w:numPr>
        <w:tabs>
          <w:tab w:val="left" w:pos="709"/>
        </w:tabs>
        <w:autoSpaceDE w:val="0"/>
        <w:autoSpaceDN w:val="0"/>
        <w:adjustRightInd w:val="0"/>
        <w:spacing w:before="120" w:after="120" w:line="360" w:lineRule="auto"/>
        <w:ind w:left="567"/>
        <w:jc w:val="both"/>
        <w:rPr>
          <w:rFonts w:ascii="Arial" w:hAnsi="Arial" w:cs="Arial"/>
        </w:rPr>
      </w:pPr>
      <w:r w:rsidRPr="002D5AE4">
        <w:rPr>
          <w:rFonts w:ascii="Arial" w:hAnsi="Arial" w:cs="Arial"/>
        </w:rPr>
        <w:t>Wynagrodzenia pracowników wykonujących merytoryczne zadania bezpośrednio związane z główny</w:t>
      </w:r>
      <w:r w:rsidR="002D5AE4" w:rsidRPr="002D5AE4">
        <w:rPr>
          <w:rFonts w:ascii="Arial" w:hAnsi="Arial" w:cs="Arial"/>
        </w:rPr>
        <w:t>mi celami i produktami projektu</w:t>
      </w:r>
    </w:p>
    <w:p w14:paraId="043DCB60"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ramach tej kategorii uwzględnia się także koszty wynagrodzeń koordynatora/kierownika projektu. </w:t>
      </w:r>
    </w:p>
    <w:p w14:paraId="51AFD8CC"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Szkolenia</w:t>
      </w:r>
    </w:p>
    <w:p w14:paraId="621CE96B"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seminaria i warsztaty dla pracowników instytucji korzystających z produktów projektu, w tym e-learning,</w:t>
      </w:r>
    </w:p>
    <w:p w14:paraId="0A338983"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dla osób zaangażowanych we wdrażanie projektu.</w:t>
      </w:r>
    </w:p>
    <w:p w14:paraId="762F1FAF" w14:textId="77777777" w:rsidR="00ED02B4" w:rsidRPr="00ED02B4" w:rsidRDefault="00ED02B4" w:rsidP="00ED02B4">
      <w:pPr>
        <w:autoSpaceDE w:val="0"/>
        <w:autoSpaceDN w:val="0"/>
        <w:adjustRightInd w:val="0"/>
        <w:spacing w:before="120" w:after="120" w:line="360" w:lineRule="auto"/>
        <w:jc w:val="both"/>
        <w:rPr>
          <w:rFonts w:ascii="Arial" w:hAnsi="Arial" w:cs="Arial"/>
        </w:rPr>
      </w:pPr>
    </w:p>
    <w:p w14:paraId="08DF6627"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Informacja i promocja, w tym wydatki:</w:t>
      </w:r>
    </w:p>
    <w:p w14:paraId="7D5E9718" w14:textId="77777777" w:rsidR="00ED02B4" w:rsidRPr="00ED02B4" w:rsidRDefault="00ED02B4" w:rsidP="00F146DA">
      <w:pPr>
        <w:numPr>
          <w:ilvl w:val="0"/>
          <w:numId w:val="60"/>
        </w:numPr>
        <w:autoSpaceDE w:val="0"/>
        <w:autoSpaceDN w:val="0"/>
        <w:adjustRightInd w:val="0"/>
        <w:spacing w:after="0" w:line="360" w:lineRule="auto"/>
        <w:jc w:val="both"/>
        <w:rPr>
          <w:rFonts w:ascii="Arial" w:hAnsi="Arial" w:cs="Arial"/>
        </w:rPr>
      </w:pPr>
      <w:r w:rsidRPr="00ED02B4">
        <w:rPr>
          <w:rFonts w:ascii="Arial" w:hAnsi="Arial" w:cs="Arial"/>
        </w:rPr>
        <w:t>poniesione na tablice informacyjne i pamiątkowe,</w:t>
      </w:r>
    </w:p>
    <w:p w14:paraId="30D76503"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związane ze stworzeniem i prowadzeniem strony internetowej projektu, profili na portalach społecznościowych, blogów i innych form wykorzystujących komunikację internetową,</w:t>
      </w:r>
    </w:p>
    <w:p w14:paraId="524AF024"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organizacją konferencji promujących projekt,</w:t>
      </w:r>
    </w:p>
    <w:p w14:paraId="1FEB7CEE"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color w:val="000000"/>
          <w:sz w:val="24"/>
          <w:szCs w:val="24"/>
        </w:rPr>
      </w:pPr>
      <w:r w:rsidRPr="00ED02B4">
        <w:rPr>
          <w:rFonts w:ascii="Arial" w:hAnsi="Arial" w:cs="Arial"/>
        </w:rPr>
        <w:t>poniesione w związku z realizacją działań informacyjno-promocyjnych, w tym m.in. kampanii, promocji w mediach elektronicznych i tradycyjnych,</w:t>
      </w:r>
    </w:p>
    <w:p w14:paraId="282486DC"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organizowaniem spotkań informacyjnych i wydarzeń promocyjnych (w tym wynajem sali, catering),</w:t>
      </w:r>
    </w:p>
    <w:p w14:paraId="1C567BF1"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 xml:space="preserve">poniesione na podstawowe materiały informacyjne i promocyjne. </w:t>
      </w:r>
    </w:p>
    <w:p w14:paraId="3CDD941C"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w:t>
      </w:r>
      <w:r w:rsidRPr="00ED02B4">
        <w:rPr>
          <w:rFonts w:ascii="Arial" w:hAnsi="Arial" w:cs="Arial"/>
        </w:rPr>
        <w:lastRenderedPageBreak/>
        <w:t xml:space="preserve">niedozwolone. Przedmiotów o charakterze upominkowym nie można stosować </w:t>
      </w:r>
      <w:r w:rsidRPr="00ED02B4">
        <w:rPr>
          <w:rFonts w:ascii="Arial" w:hAnsi="Arial" w:cs="Arial"/>
        </w:rPr>
        <w:br/>
        <w:t>w komunikacji FE.</w:t>
      </w:r>
    </w:p>
    <w:p w14:paraId="1B87BB8F"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41331811"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Wydatki na informację i promocję nie mogą przekraczać 15% planowanych wydatków kwalifikowalnych projektu, o których mowa w punkcie 2 podrozdziału 6.2 </w:t>
      </w:r>
      <w:r w:rsidRPr="00ED02B4">
        <w:rPr>
          <w:rFonts w:ascii="Arial" w:hAnsi="Arial" w:cs="Arial"/>
          <w:i/>
        </w:rPr>
        <w:t>Wytycznych</w:t>
      </w:r>
      <w:r w:rsidRPr="00ED02B4">
        <w:rPr>
          <w:rFonts w:ascii="Arial" w:hAnsi="Arial" w:cs="Arial"/>
        </w:rPr>
        <w:t xml:space="preserve">. </w:t>
      </w:r>
    </w:p>
    <w:p w14:paraId="602F2A14"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0C6E1C4F"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Wydatki poniesione na pokrycie kosztów pośrednich</w:t>
      </w:r>
    </w:p>
    <w:p w14:paraId="7740AA68"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W ramach osi II wydatkami kwalifikowalnymi w zakresie tej kategorii mogą być:</w:t>
      </w:r>
    </w:p>
    <w:p w14:paraId="06D66254"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związane z zaangażowaniem osób wykonujących czynności niezwiązane bezpośrednio z głównymi celami i produktami projektu, z zastrzeżeniem zapisów podrozdziału 6.15 </w:t>
      </w:r>
      <w:r w:rsidRPr="00ED02B4">
        <w:rPr>
          <w:rFonts w:ascii="Arial" w:hAnsi="Arial" w:cs="Arial"/>
          <w:i/>
        </w:rPr>
        <w:t>Wytycznych</w:t>
      </w:r>
      <w:r w:rsidRPr="00ED02B4">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6986DE72"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color w:val="000000"/>
        </w:rPr>
      </w:pPr>
      <w:r w:rsidRPr="00ED02B4">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7610A283"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77377964"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Do tej kategorii stosuje się zapisy punktów 4-6 opisane we wstępie rozdziału 4.</w:t>
      </w:r>
    </w:p>
    <w:p w14:paraId="2638F0A2"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717441B4" w14:textId="77777777" w:rsidR="00ED02B4" w:rsidRPr="0056287F" w:rsidRDefault="00ED02B4" w:rsidP="00F146DA">
      <w:pPr>
        <w:numPr>
          <w:ilvl w:val="1"/>
          <w:numId w:val="58"/>
        </w:numPr>
        <w:autoSpaceDE w:val="0"/>
        <w:autoSpaceDN w:val="0"/>
        <w:adjustRightInd w:val="0"/>
        <w:spacing w:after="0" w:line="360" w:lineRule="auto"/>
        <w:contextualSpacing/>
        <w:jc w:val="both"/>
        <w:rPr>
          <w:rFonts w:ascii="Arial" w:hAnsi="Arial" w:cs="Arial"/>
        </w:rPr>
      </w:pPr>
      <w:r w:rsidRPr="0056287F">
        <w:rPr>
          <w:rFonts w:ascii="Arial" w:hAnsi="Arial" w:cs="Arial"/>
        </w:rPr>
        <w:t>Rezerwa na nieprzewidziane wydatki</w:t>
      </w:r>
    </w:p>
    <w:p w14:paraId="140981D7"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 xml:space="preserve">Możliwe jest uwzględnienie w budżecie projektu rezerwy na nieprzewidziane wydatki w części inwestycyjnej projektu, pod warunkiem, że wartość tej rezerwy nie przekracza 10% wydatków kwalifikowalnych kategorii, której dotyczy bez tej rezerwy, a do </w:t>
      </w:r>
      <w:r w:rsidRPr="00ED02B4">
        <w:rPr>
          <w:rFonts w:ascii="Arial" w:hAnsi="Arial" w:cs="Arial"/>
        </w:rPr>
        <w:lastRenderedPageBreak/>
        <w:t xml:space="preserve">proponowanego projektu załączona jest szczegółowa analiza ryzyka, uzasadniająca utworzenie rezerwy. Brak lub niewystarczające uzasadnienie dla utworzenia rezerwy w danej wysokości będzie skutkować </w:t>
      </w:r>
      <w:proofErr w:type="spellStart"/>
      <w:r w:rsidRPr="00ED02B4">
        <w:rPr>
          <w:rFonts w:ascii="Arial" w:hAnsi="Arial" w:cs="Arial"/>
        </w:rPr>
        <w:t>niekwalifikowalnością</w:t>
      </w:r>
      <w:proofErr w:type="spellEnd"/>
      <w:r w:rsidRPr="00ED02B4">
        <w:rPr>
          <w:rFonts w:ascii="Arial" w:hAnsi="Arial" w:cs="Arial"/>
        </w:rPr>
        <w:t xml:space="preserve"> przeznaczonych na nią wydatków. Rezerwa ta może być wykorzystana na działania wynikające z powyższej analizy ryzyka, a w szczególności na:</w:t>
      </w:r>
    </w:p>
    <w:p w14:paraId="4BC6DADD"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przekroczenia planowanych wartości przetargów, </w:t>
      </w:r>
    </w:p>
    <w:p w14:paraId="26C72E3F"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ewentualny wzrost stawki podatku VAT. </w:t>
      </w:r>
    </w:p>
    <w:p w14:paraId="4245F82F"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Każdy wydatek zaplanowany oraz poniesiony w ramach rezerwy musi być przyporządkowany do jednej z następujących kategorii wymienionych w tabeli nr 1 zamieszczonej w rozdziale 4: środki trwałe i wartości niematerialne i prawne, usługi zewnętrzne oraz roboty budowlane. Podstawą wyliczenia kwoty rezerwy są wydatki wykazane w danym zadaniu w jednej z wyżej wskazanych kategorii. Koszty rezerwy powinny zostać wykazane w ramach zadania, w którym ujęto wydatki będące podstawą jej wyliczenia.</w:t>
      </w:r>
    </w:p>
    <w:p w14:paraId="707E20B1" w14:textId="01E675CF" w:rsidR="00EB2C27" w:rsidRPr="00ED02B4" w:rsidRDefault="00EB2C27" w:rsidP="00ED02B4">
      <w:pPr>
        <w:pStyle w:val="Nagwek3"/>
        <w:spacing w:before="240" w:after="60" w:line="360" w:lineRule="auto"/>
        <w:ind w:left="862"/>
        <w:rPr>
          <w:rFonts w:ascii="Arial" w:hAnsi="Arial" w:cs="Arial"/>
          <w:b w:val="0"/>
          <w:i/>
          <w:color w:val="auto"/>
          <w:sz w:val="24"/>
          <w:szCs w:val="24"/>
        </w:rPr>
      </w:pPr>
      <w:r w:rsidRPr="00ED02B4">
        <w:rPr>
          <w:rFonts w:ascii="Arial" w:hAnsi="Arial" w:cs="Arial"/>
          <w:b w:val="0"/>
          <w:i/>
          <w:color w:val="auto"/>
          <w:sz w:val="24"/>
          <w:szCs w:val="24"/>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80890089"/>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6"/>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F146DA">
      <w:pPr>
        <w:numPr>
          <w:ilvl w:val="0"/>
          <w:numId w:val="62"/>
        </w:numPr>
        <w:tabs>
          <w:tab w:val="left" w:pos="426"/>
        </w:tabs>
        <w:spacing w:after="0" w:line="360" w:lineRule="auto"/>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4853092" w14:textId="77777777" w:rsidR="005530C1" w:rsidRPr="00B81671" w:rsidRDefault="005530C1" w:rsidP="00903FFD">
      <w:pPr>
        <w:spacing w:after="0" w:line="360" w:lineRule="auto"/>
        <w:ind w:left="426"/>
        <w:jc w:val="both"/>
        <w:rPr>
          <w:rFonts w:ascii="Arial" w:eastAsia="Times New Roman" w:hAnsi="Arial" w:cs="Arial"/>
          <w:lang w:eastAsia="pl-PL"/>
        </w:rPr>
      </w:pPr>
    </w:p>
    <w:p w14:paraId="54A51F90" w14:textId="77777777" w:rsidR="005530C1" w:rsidRPr="00B81671" w:rsidRDefault="005530C1" w:rsidP="00903FFD">
      <w:pPr>
        <w:spacing w:after="0" w:line="360" w:lineRule="auto"/>
        <w:ind w:left="426"/>
        <w:jc w:val="both"/>
        <w:rPr>
          <w:rFonts w:ascii="Arial" w:eastAsia="Times New Roman" w:hAnsi="Arial" w:cs="Arial"/>
          <w:lang w:eastAsia="pl-PL"/>
        </w:rPr>
      </w:pPr>
    </w:p>
    <w:p w14:paraId="5DB8BEF0" w14:textId="77777777" w:rsidR="005530C1" w:rsidRPr="00B81671" w:rsidRDefault="005530C1" w:rsidP="00903FFD">
      <w:pPr>
        <w:spacing w:after="0" w:line="360" w:lineRule="auto"/>
        <w:ind w:left="426"/>
        <w:jc w:val="both"/>
        <w:rPr>
          <w:rFonts w:ascii="Arial" w:eastAsia="Times New Roman" w:hAnsi="Arial" w:cs="Arial"/>
          <w:lang w:eastAsia="pl-PL"/>
        </w:rPr>
      </w:pPr>
    </w:p>
    <w:p w14:paraId="1381DF0C" w14:textId="77777777" w:rsidR="005530C1" w:rsidRPr="00B81671" w:rsidRDefault="005530C1" w:rsidP="00903FFD">
      <w:pPr>
        <w:spacing w:after="0" w:line="360" w:lineRule="auto"/>
        <w:ind w:left="426"/>
        <w:jc w:val="both"/>
        <w:rPr>
          <w:rFonts w:ascii="Arial" w:eastAsia="Times New Roman" w:hAnsi="Arial" w:cs="Arial"/>
          <w:lang w:eastAsia="pl-PL"/>
        </w:rPr>
      </w:pPr>
    </w:p>
    <w:p w14:paraId="78568B60" w14:textId="77777777" w:rsidR="00AA41C9" w:rsidRPr="00B81671" w:rsidRDefault="00AA41C9" w:rsidP="001B27A2">
      <w:pPr>
        <w:spacing w:after="0" w:line="360" w:lineRule="auto"/>
        <w:jc w:val="both"/>
        <w:rPr>
          <w:rFonts w:ascii="Arial" w:eastAsia="Calibri" w:hAnsi="Arial" w:cs="Times New Roman"/>
          <w:szCs w:val="20"/>
        </w:rPr>
      </w:pPr>
    </w:p>
    <w:p w14:paraId="2B2DCEAC" w14:textId="77777777" w:rsidR="00AA41C9" w:rsidRPr="00B81671" w:rsidRDefault="00AA41C9" w:rsidP="001B27A2">
      <w:pPr>
        <w:spacing w:after="0" w:line="360" w:lineRule="auto"/>
        <w:jc w:val="both"/>
      </w:pP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1"/>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7" w:name="_Toc8089009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7"/>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5"/>
        <w:gridCol w:w="3828"/>
        <w:gridCol w:w="3827"/>
        <w:gridCol w:w="3969"/>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B5C36" w14:textId="77777777" w:rsidR="00ED02B4" w:rsidRDefault="00ED02B4" w:rsidP="00045401">
      <w:pPr>
        <w:spacing w:after="0" w:line="240" w:lineRule="auto"/>
      </w:pPr>
      <w:r>
        <w:separator/>
      </w:r>
    </w:p>
  </w:endnote>
  <w:endnote w:type="continuationSeparator" w:id="0">
    <w:p w14:paraId="503836E4" w14:textId="77777777" w:rsidR="00ED02B4" w:rsidRDefault="00ED02B4"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9629"/>
      <w:docPartObj>
        <w:docPartGallery w:val="Page Numbers (Bottom of Page)"/>
        <w:docPartUnique/>
      </w:docPartObj>
    </w:sdtPr>
    <w:sdtEndPr/>
    <w:sdtContent>
      <w:p w14:paraId="06280B6C" w14:textId="49E4B7C4" w:rsidR="00ED02B4" w:rsidRDefault="00ED02B4">
        <w:pPr>
          <w:pStyle w:val="Stopka"/>
          <w:jc w:val="right"/>
        </w:pPr>
        <w:r>
          <w:fldChar w:fldCharType="begin"/>
        </w:r>
        <w:r>
          <w:instrText>PAGE   \* MERGEFORMAT</w:instrText>
        </w:r>
        <w:r>
          <w:fldChar w:fldCharType="separate"/>
        </w:r>
        <w:r w:rsidR="00F146DA">
          <w:rPr>
            <w:noProof/>
          </w:rPr>
          <w:t>2</w:t>
        </w:r>
        <w:r>
          <w:fldChar w:fldCharType="end"/>
        </w:r>
      </w:p>
    </w:sdtContent>
  </w:sdt>
  <w:p w14:paraId="494AD619" w14:textId="77777777" w:rsidR="00ED02B4" w:rsidRDefault="00ED0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D979" w14:textId="77777777" w:rsidR="00ED02B4" w:rsidRDefault="00ED02B4" w:rsidP="00045401">
      <w:pPr>
        <w:spacing w:after="0" w:line="240" w:lineRule="auto"/>
      </w:pPr>
      <w:r>
        <w:separator/>
      </w:r>
    </w:p>
  </w:footnote>
  <w:footnote w:type="continuationSeparator" w:id="0">
    <w:p w14:paraId="0DCF6D1E" w14:textId="77777777" w:rsidR="00ED02B4" w:rsidRDefault="00ED02B4" w:rsidP="00045401">
      <w:pPr>
        <w:spacing w:after="0" w:line="240" w:lineRule="auto"/>
      </w:pPr>
      <w:r>
        <w:continuationSeparator/>
      </w:r>
    </w:p>
  </w:footnote>
  <w:footnote w:id="1">
    <w:p w14:paraId="56C744BA" w14:textId="77777777" w:rsidR="00ED02B4" w:rsidRPr="00395C47" w:rsidRDefault="00ED02B4"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ED02B4" w:rsidRPr="000E3E65" w:rsidRDefault="00ED02B4"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ED02B4" w:rsidRPr="00C55C98" w:rsidRDefault="00ED02B4"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ED02B4" w:rsidRPr="00C55C98" w:rsidRDefault="00ED02B4"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ED02B4" w:rsidRPr="006E7156" w:rsidRDefault="00ED02B4"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ED02B4" w:rsidRPr="006E7156" w:rsidRDefault="00ED02B4"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ED02B4" w:rsidRPr="003217B9" w:rsidRDefault="00ED02B4"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long-term evolution) lub LTEAdvanced,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ED02B4" w:rsidRPr="00AA2E60" w:rsidRDefault="00ED02B4"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ED02B4" w:rsidRPr="00F80636" w:rsidRDefault="00ED02B4"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10">
    <w:p w14:paraId="61AB8F68" w14:textId="77777777" w:rsidR="00ED02B4" w:rsidRPr="006803C1" w:rsidRDefault="00ED02B4"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ED02B4" w:rsidRPr="00AA2E60" w:rsidRDefault="00ED02B4"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ED02B4" w:rsidRPr="006E7156" w:rsidRDefault="00ED02B4">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ED02B4" w:rsidRPr="00136638" w:rsidRDefault="00ED02B4"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65E723F7" w14:textId="77777777" w:rsidR="00ED02B4" w:rsidRPr="006E7156" w:rsidRDefault="00ED02B4">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5">
    <w:p w14:paraId="6F5BB78F" w14:textId="77777777" w:rsidR="00ED02B4" w:rsidRPr="006E7156" w:rsidRDefault="00ED02B4"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16">
    <w:p w14:paraId="1DECA16F" w14:textId="77777777" w:rsidR="00ED02B4" w:rsidRPr="006E7156" w:rsidRDefault="00ED02B4" w:rsidP="00ED02B4">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514FD4"/>
    <w:multiLevelType w:val="hybridMultilevel"/>
    <w:tmpl w:val="7E808932"/>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55A4AF7"/>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605A6"/>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1E0B4CB7"/>
    <w:multiLevelType w:val="hybridMultilevel"/>
    <w:tmpl w:val="4DB0B432"/>
    <w:lvl w:ilvl="0" w:tplc="5FD039D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4">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24">
    <w:nsid w:val="3D471D38"/>
    <w:multiLevelType w:val="hybridMultilevel"/>
    <w:tmpl w:val="286633C8"/>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F70D8B"/>
    <w:multiLevelType w:val="hybridMultilevel"/>
    <w:tmpl w:val="82080BAE"/>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46B25A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52F269C"/>
    <w:multiLevelType w:val="hybridMultilevel"/>
    <w:tmpl w:val="E8A23236"/>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34">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64D5ADF"/>
    <w:multiLevelType w:val="hybridMultilevel"/>
    <w:tmpl w:val="A77CCBA0"/>
    <w:lvl w:ilvl="0" w:tplc="0978818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nsid w:val="68A67298"/>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B1555DA"/>
    <w:multiLevelType w:val="hybridMultilevel"/>
    <w:tmpl w:val="0E0E8A00"/>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2">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54">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55">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F692E66"/>
    <w:multiLevelType w:val="multilevel"/>
    <w:tmpl w:val="93301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9"/>
  </w:num>
  <w:num w:numId="3">
    <w:abstractNumId w:val="55"/>
  </w:num>
  <w:num w:numId="4">
    <w:abstractNumId w:val="53"/>
  </w:num>
  <w:num w:numId="5">
    <w:abstractNumId w:val="42"/>
  </w:num>
  <w:num w:numId="6">
    <w:abstractNumId w:val="58"/>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51"/>
  </w:num>
  <w:num w:numId="12">
    <w:abstractNumId w:val="37"/>
  </w:num>
  <w:num w:numId="13">
    <w:abstractNumId w:val="49"/>
  </w:num>
  <w:num w:numId="14">
    <w:abstractNumId w:val="34"/>
  </w:num>
  <w:num w:numId="15">
    <w:abstractNumId w:val="38"/>
  </w:num>
  <w:num w:numId="16">
    <w:abstractNumId w:val="18"/>
  </w:num>
  <w:num w:numId="17">
    <w:abstractNumId w:val="52"/>
  </w:num>
  <w:num w:numId="18">
    <w:abstractNumId w:val="57"/>
  </w:num>
  <w:num w:numId="19">
    <w:abstractNumId w:val="17"/>
  </w:num>
  <w:num w:numId="20">
    <w:abstractNumId w:val="31"/>
  </w:num>
  <w:num w:numId="21">
    <w:abstractNumId w:val="19"/>
  </w:num>
  <w:num w:numId="22">
    <w:abstractNumId w:val="9"/>
  </w:num>
  <w:num w:numId="23">
    <w:abstractNumId w:val="1"/>
  </w:num>
  <w:num w:numId="24">
    <w:abstractNumId w:val="23"/>
  </w:num>
  <w:num w:numId="25">
    <w:abstractNumId w:val="48"/>
  </w:num>
  <w:num w:numId="26">
    <w:abstractNumId w:val="36"/>
  </w:num>
  <w:num w:numId="27">
    <w:abstractNumId w:val="35"/>
  </w:num>
  <w:num w:numId="28">
    <w:abstractNumId w:val="22"/>
  </w:num>
  <w:num w:numId="29">
    <w:abstractNumId w:val="41"/>
  </w:num>
  <w:num w:numId="30">
    <w:abstractNumId w:val="8"/>
  </w:num>
  <w:num w:numId="31">
    <w:abstractNumId w:val="26"/>
  </w:num>
  <w:num w:numId="32">
    <w:abstractNumId w:val="45"/>
  </w:num>
  <w:num w:numId="33">
    <w:abstractNumId w:val="56"/>
  </w:num>
  <w:num w:numId="34">
    <w:abstractNumId w:val="39"/>
  </w:num>
  <w:num w:numId="35">
    <w:abstractNumId w:val="10"/>
  </w:num>
  <w:num w:numId="36">
    <w:abstractNumId w:val="33"/>
  </w:num>
  <w:num w:numId="37">
    <w:abstractNumId w:val="13"/>
  </w:num>
  <w:num w:numId="38">
    <w:abstractNumId w:val="59"/>
  </w:num>
  <w:num w:numId="39">
    <w:abstractNumId w:val="0"/>
  </w:num>
  <w:num w:numId="40">
    <w:abstractNumId w:val="60"/>
  </w:num>
  <w:num w:numId="41">
    <w:abstractNumId w:val="21"/>
  </w:num>
  <w:num w:numId="42">
    <w:abstractNumId w:val="25"/>
  </w:num>
  <w:num w:numId="43">
    <w:abstractNumId w:val="20"/>
  </w:num>
  <w:num w:numId="44">
    <w:abstractNumId w:val="47"/>
  </w:num>
  <w:num w:numId="45">
    <w:abstractNumId w:val="16"/>
  </w:num>
  <w:num w:numId="46">
    <w:abstractNumId w:val="15"/>
  </w:num>
  <w:num w:numId="47">
    <w:abstractNumId w:val="61"/>
  </w:num>
  <w:num w:numId="48">
    <w:abstractNumId w:val="54"/>
  </w:num>
  <w:num w:numId="49">
    <w:abstractNumId w:val="3"/>
  </w:num>
  <w:num w:numId="50">
    <w:abstractNumId w:val="12"/>
  </w:num>
  <w:num w:numId="51">
    <w:abstractNumId w:val="14"/>
  </w:num>
  <w:num w:numId="52">
    <w:abstractNumId w:val="4"/>
  </w:num>
  <w:num w:numId="53">
    <w:abstractNumId w:val="44"/>
  </w:num>
  <w:num w:numId="54">
    <w:abstractNumId w:val="43"/>
  </w:num>
  <w:num w:numId="55">
    <w:abstractNumId w:val="32"/>
  </w:num>
  <w:num w:numId="56">
    <w:abstractNumId w:val="27"/>
  </w:num>
  <w:num w:numId="57">
    <w:abstractNumId w:val="24"/>
  </w:num>
  <w:num w:numId="58">
    <w:abstractNumId w:val="28"/>
  </w:num>
  <w:num w:numId="59">
    <w:abstractNumId w:val="11"/>
  </w:num>
  <w:num w:numId="60">
    <w:abstractNumId w:val="46"/>
  </w:num>
  <w:num w:numId="61">
    <w:abstractNumId w:val="6"/>
  </w:num>
  <w:num w:numId="62">
    <w:abstractNumId w:val="7"/>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9A"/>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6E8"/>
    <w:rsid w:val="0003694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0AD"/>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BB4"/>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7AA"/>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1AC5"/>
    <w:rsid w:val="00102499"/>
    <w:rsid w:val="00103A27"/>
    <w:rsid w:val="00103AA7"/>
    <w:rsid w:val="00103D76"/>
    <w:rsid w:val="00104230"/>
    <w:rsid w:val="0010462C"/>
    <w:rsid w:val="0010465C"/>
    <w:rsid w:val="00105308"/>
    <w:rsid w:val="00105C17"/>
    <w:rsid w:val="00105D2D"/>
    <w:rsid w:val="001101A3"/>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4796E"/>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8B5"/>
    <w:rsid w:val="001732A9"/>
    <w:rsid w:val="00173EDE"/>
    <w:rsid w:val="00174638"/>
    <w:rsid w:val="001747C0"/>
    <w:rsid w:val="00174CAC"/>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1754"/>
    <w:rsid w:val="001F29FF"/>
    <w:rsid w:val="001F3497"/>
    <w:rsid w:val="001F3B76"/>
    <w:rsid w:val="001F5562"/>
    <w:rsid w:val="001F68FA"/>
    <w:rsid w:val="001F7401"/>
    <w:rsid w:val="001F7640"/>
    <w:rsid w:val="001F767B"/>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0BB"/>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5AE4"/>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552C"/>
    <w:rsid w:val="00425717"/>
    <w:rsid w:val="00425C54"/>
    <w:rsid w:val="00426291"/>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2887"/>
    <w:rsid w:val="004C30FE"/>
    <w:rsid w:val="004C3EFC"/>
    <w:rsid w:val="004C3F4C"/>
    <w:rsid w:val="004C4D46"/>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699"/>
    <w:rsid w:val="00556EA6"/>
    <w:rsid w:val="005573BC"/>
    <w:rsid w:val="005611CD"/>
    <w:rsid w:val="005611EC"/>
    <w:rsid w:val="00561624"/>
    <w:rsid w:val="0056167D"/>
    <w:rsid w:val="00561753"/>
    <w:rsid w:val="00561A31"/>
    <w:rsid w:val="0056287F"/>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29E6"/>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BF9"/>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156"/>
    <w:rsid w:val="006E78C8"/>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466F"/>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18F0"/>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5B9"/>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67E02"/>
    <w:rsid w:val="00A707BD"/>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C05"/>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6D6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41C2"/>
    <w:rsid w:val="00C14962"/>
    <w:rsid w:val="00C15C3E"/>
    <w:rsid w:val="00C15D39"/>
    <w:rsid w:val="00C16997"/>
    <w:rsid w:val="00C16E9D"/>
    <w:rsid w:val="00C17000"/>
    <w:rsid w:val="00C17A9B"/>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C6"/>
    <w:rsid w:val="00D576D5"/>
    <w:rsid w:val="00D57C28"/>
    <w:rsid w:val="00D607C2"/>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77D56"/>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721"/>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4D6"/>
    <w:rsid w:val="00E107B5"/>
    <w:rsid w:val="00E1174F"/>
    <w:rsid w:val="00E11D51"/>
    <w:rsid w:val="00E11F62"/>
    <w:rsid w:val="00E12101"/>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8777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02B4"/>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46DA"/>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857"/>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4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okik.gov.pl/download.php?plik=1442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0C67-2695-4576-BE73-65858205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16005</Words>
  <Characters>96032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Maja Olszewska</cp:lastModifiedBy>
  <cp:revision>3</cp:revision>
  <cp:lastPrinted>2019-06-18T07:39:00Z</cp:lastPrinted>
  <dcterms:created xsi:type="dcterms:W3CDTF">2021-09-23T06:42:00Z</dcterms:created>
  <dcterms:modified xsi:type="dcterms:W3CDTF">2021-09-23T06:45:00Z</dcterms:modified>
</cp:coreProperties>
</file>