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bookmarkStart w:id="0" w:name="_GoBack"/>
      <w:bookmarkEnd w:id="0"/>
      <w:r>
        <w:rPr>
          <w:noProof/>
          <w:lang w:eastAsia="pl-PL"/>
        </w:rPr>
        <w:drawing>
          <wp:inline distT="0" distB="0" distL="0" distR="0" wp14:anchorId="1D55F722" wp14:editId="05F68602">
            <wp:extent cx="5760720" cy="874395"/>
            <wp:effectExtent l="0" t="0" r="0" b="190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74395"/>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215979441" w:edGrp="everyone"/>
      <w:permEnd w:id="1215979441"/>
    </w:p>
    <w:bookmarkEnd w:id="1"/>
    <w:bookmarkEnd w:id="2"/>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98450609" w:edGrp="everyone"/>
      <w:permEnd w:id="98450609"/>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7977FB">
        <w:rPr>
          <w:b/>
          <w:bCs/>
          <w:i/>
          <w:iCs/>
          <w:color w:val="000000"/>
        </w:rPr>
        <w:t xml:space="preserve">              </w:t>
      </w:r>
      <w:r w:rsidR="006B73CA">
        <w:rPr>
          <w:b/>
          <w:bCs/>
          <w:i/>
          <w:iCs/>
          <w:color w:val="000000"/>
        </w:rPr>
        <w:t xml:space="preserve"> </w:t>
      </w:r>
      <w:r w:rsidR="00CF0209" w:rsidRPr="007E469E">
        <w:rPr>
          <w:b/>
          <w:bCs/>
          <w:i/>
          <w:iCs/>
          <w:color w:val="000000"/>
        </w:rPr>
        <w:t>201</w:t>
      </w:r>
      <w:r w:rsidR="006B73CA">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03759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99016915" w:history="1">
            <w:r w:rsidR="00037599" w:rsidRPr="007B0839">
              <w:rPr>
                <w:rStyle w:val="Hipercze"/>
              </w:rPr>
              <w:t>Wykaz skrótów</w:t>
            </w:r>
            <w:r w:rsidR="00037599">
              <w:rPr>
                <w:webHidden/>
              </w:rPr>
              <w:tab/>
            </w:r>
            <w:r w:rsidR="00037599">
              <w:rPr>
                <w:webHidden/>
              </w:rPr>
              <w:fldChar w:fldCharType="begin"/>
            </w:r>
            <w:r w:rsidR="00037599">
              <w:rPr>
                <w:webHidden/>
              </w:rPr>
              <w:instrText xml:space="preserve"> PAGEREF _Toc499016915 \h </w:instrText>
            </w:r>
            <w:r w:rsidR="00037599">
              <w:rPr>
                <w:webHidden/>
              </w:rPr>
            </w:r>
            <w:r w:rsidR="00037599">
              <w:rPr>
                <w:webHidden/>
              </w:rPr>
              <w:fldChar w:fldCharType="separate"/>
            </w:r>
            <w:r w:rsidR="00037599">
              <w:rPr>
                <w:webHidden/>
              </w:rPr>
              <w:t>4</w:t>
            </w:r>
            <w:r w:rsidR="00037599">
              <w:rPr>
                <w:webHidden/>
              </w:rPr>
              <w:fldChar w:fldCharType="end"/>
            </w:r>
          </w:hyperlink>
        </w:p>
        <w:p w:rsidR="00037599" w:rsidRDefault="00846915">
          <w:pPr>
            <w:pStyle w:val="Spistreci1"/>
            <w:rPr>
              <w:rFonts w:asciiTheme="minorHAnsi" w:hAnsiTheme="minorHAnsi" w:cstheme="minorBidi"/>
              <w:b w:val="0"/>
            </w:rPr>
          </w:pPr>
          <w:hyperlink w:anchor="_Toc499016916" w:history="1">
            <w:r w:rsidR="00037599" w:rsidRPr="007B0839">
              <w:rPr>
                <w:rStyle w:val="Hipercze"/>
              </w:rPr>
              <w:t>1.</w:t>
            </w:r>
            <w:r w:rsidR="00037599">
              <w:rPr>
                <w:rFonts w:asciiTheme="minorHAnsi" w:hAnsiTheme="minorHAnsi" w:cstheme="minorBidi"/>
                <w:b w:val="0"/>
              </w:rPr>
              <w:tab/>
            </w:r>
            <w:r w:rsidR="00037599" w:rsidRPr="007B0839">
              <w:rPr>
                <w:rStyle w:val="Hipercze"/>
              </w:rPr>
              <w:t>Rozdział - Słowniczek pojęć</w:t>
            </w:r>
            <w:r w:rsidR="00037599">
              <w:rPr>
                <w:webHidden/>
              </w:rPr>
              <w:tab/>
            </w:r>
            <w:r w:rsidR="00037599">
              <w:rPr>
                <w:webHidden/>
              </w:rPr>
              <w:fldChar w:fldCharType="begin"/>
            </w:r>
            <w:r w:rsidR="00037599">
              <w:rPr>
                <w:webHidden/>
              </w:rPr>
              <w:instrText xml:space="preserve"> PAGEREF _Toc499016916 \h </w:instrText>
            </w:r>
            <w:r w:rsidR="00037599">
              <w:rPr>
                <w:webHidden/>
              </w:rPr>
            </w:r>
            <w:r w:rsidR="00037599">
              <w:rPr>
                <w:webHidden/>
              </w:rPr>
              <w:fldChar w:fldCharType="separate"/>
            </w:r>
            <w:r w:rsidR="00037599">
              <w:rPr>
                <w:webHidden/>
              </w:rPr>
              <w:t>5</w:t>
            </w:r>
            <w:r w:rsidR="00037599">
              <w:rPr>
                <w:webHidden/>
              </w:rPr>
              <w:fldChar w:fldCharType="end"/>
            </w:r>
          </w:hyperlink>
        </w:p>
        <w:p w:rsidR="00037599" w:rsidRDefault="00846915">
          <w:pPr>
            <w:pStyle w:val="Spistreci1"/>
            <w:rPr>
              <w:rFonts w:asciiTheme="minorHAnsi" w:hAnsiTheme="minorHAnsi" w:cstheme="minorBidi"/>
              <w:b w:val="0"/>
            </w:rPr>
          </w:pPr>
          <w:hyperlink w:anchor="_Toc499016917" w:history="1">
            <w:r w:rsidR="00037599" w:rsidRPr="007B0839">
              <w:rPr>
                <w:rStyle w:val="Hipercze"/>
              </w:rPr>
              <w:t>2.</w:t>
            </w:r>
            <w:r w:rsidR="00037599">
              <w:rPr>
                <w:rFonts w:asciiTheme="minorHAnsi" w:hAnsiTheme="minorHAnsi" w:cstheme="minorBidi"/>
                <w:b w:val="0"/>
              </w:rPr>
              <w:tab/>
            </w:r>
            <w:r w:rsidR="00037599" w:rsidRPr="007B0839">
              <w:rPr>
                <w:rStyle w:val="Hipercze"/>
              </w:rPr>
              <w:t xml:space="preserve">Rozdział - Cel, zakres oraz obowiązywanie </w:t>
            </w:r>
            <w:r w:rsidR="00037599" w:rsidRPr="007B0839">
              <w:rPr>
                <w:rStyle w:val="Hipercze"/>
                <w:i/>
              </w:rPr>
              <w:t>Katalogu</w:t>
            </w:r>
            <w:r w:rsidR="00037599">
              <w:rPr>
                <w:webHidden/>
              </w:rPr>
              <w:tab/>
            </w:r>
            <w:r w:rsidR="00037599">
              <w:rPr>
                <w:webHidden/>
              </w:rPr>
              <w:fldChar w:fldCharType="begin"/>
            </w:r>
            <w:r w:rsidR="00037599">
              <w:rPr>
                <w:webHidden/>
              </w:rPr>
              <w:instrText xml:space="preserve"> PAGEREF _Toc499016917 \h </w:instrText>
            </w:r>
            <w:r w:rsidR="00037599">
              <w:rPr>
                <w:webHidden/>
              </w:rPr>
            </w:r>
            <w:r w:rsidR="00037599">
              <w:rPr>
                <w:webHidden/>
              </w:rPr>
              <w:fldChar w:fldCharType="separate"/>
            </w:r>
            <w:r w:rsidR="00037599">
              <w:rPr>
                <w:webHidden/>
              </w:rPr>
              <w:t>11</w:t>
            </w:r>
            <w:r w:rsidR="00037599">
              <w:rPr>
                <w:webHidden/>
              </w:rPr>
              <w:fldChar w:fldCharType="end"/>
            </w:r>
          </w:hyperlink>
        </w:p>
        <w:p w:rsidR="00037599" w:rsidRDefault="00846915">
          <w:pPr>
            <w:pStyle w:val="Spistreci1"/>
            <w:rPr>
              <w:rFonts w:asciiTheme="minorHAnsi" w:hAnsiTheme="minorHAnsi" w:cstheme="minorBidi"/>
              <w:b w:val="0"/>
            </w:rPr>
          </w:pPr>
          <w:hyperlink w:anchor="_Toc499016918" w:history="1">
            <w:r w:rsidR="00037599" w:rsidRPr="007B0839">
              <w:rPr>
                <w:rStyle w:val="Hipercze"/>
              </w:rPr>
              <w:t>3.</w:t>
            </w:r>
            <w:r w:rsidR="00037599">
              <w:rPr>
                <w:rFonts w:asciiTheme="minorHAnsi" w:hAnsiTheme="minorHAnsi" w:cstheme="minorBidi"/>
                <w:b w:val="0"/>
              </w:rPr>
              <w:tab/>
            </w:r>
            <w:r w:rsidR="00037599" w:rsidRPr="007B0839">
              <w:rPr>
                <w:rStyle w:val="Hipercze"/>
              </w:rPr>
              <w:t>Rozdział - Warunki i procedury w zakresie kwalifikowalności wydatków</w:t>
            </w:r>
            <w:r w:rsidR="00037599">
              <w:rPr>
                <w:webHidden/>
              </w:rPr>
              <w:tab/>
            </w:r>
            <w:r w:rsidR="00037599">
              <w:rPr>
                <w:webHidden/>
              </w:rPr>
              <w:fldChar w:fldCharType="begin"/>
            </w:r>
            <w:r w:rsidR="00037599">
              <w:rPr>
                <w:webHidden/>
              </w:rPr>
              <w:instrText xml:space="preserve"> PAGEREF _Toc499016918 \h </w:instrText>
            </w:r>
            <w:r w:rsidR="00037599">
              <w:rPr>
                <w:webHidden/>
              </w:rPr>
            </w:r>
            <w:r w:rsidR="00037599">
              <w:rPr>
                <w:webHidden/>
              </w:rPr>
              <w:fldChar w:fldCharType="separate"/>
            </w:r>
            <w:r w:rsidR="00037599">
              <w:rPr>
                <w:webHidden/>
              </w:rPr>
              <w:t>12</w:t>
            </w:r>
            <w:r w:rsidR="00037599">
              <w:rPr>
                <w:webHidden/>
              </w:rPr>
              <w:fldChar w:fldCharType="end"/>
            </w:r>
          </w:hyperlink>
        </w:p>
        <w:p w:rsidR="00037599" w:rsidRDefault="00846915">
          <w:pPr>
            <w:pStyle w:val="Spistreci2"/>
            <w:tabs>
              <w:tab w:val="left" w:pos="880"/>
              <w:tab w:val="right" w:leader="dot" w:pos="9062"/>
            </w:tabs>
            <w:rPr>
              <w:noProof/>
            </w:rPr>
          </w:pPr>
          <w:hyperlink w:anchor="_Toc499016919" w:history="1">
            <w:r w:rsidR="00037599" w:rsidRPr="007B0839">
              <w:rPr>
                <w:rStyle w:val="Hipercze"/>
                <w:rFonts w:ascii="Arial" w:hAnsi="Arial" w:cs="Arial"/>
                <w:i/>
                <w:noProof/>
              </w:rPr>
              <w:t>3.1</w:t>
            </w:r>
            <w:r w:rsidR="00037599">
              <w:rPr>
                <w:noProof/>
              </w:rPr>
              <w:tab/>
            </w:r>
            <w:r w:rsidR="00037599" w:rsidRPr="007B0839">
              <w:rPr>
                <w:rStyle w:val="Hipercze"/>
                <w:rFonts w:ascii="Arial" w:hAnsi="Arial" w:cs="Arial"/>
                <w:i/>
                <w:noProof/>
              </w:rPr>
              <w:t>Ocena kwalifikowalności wydatku.</w:t>
            </w:r>
            <w:r w:rsidR="00037599">
              <w:rPr>
                <w:noProof/>
                <w:webHidden/>
              </w:rPr>
              <w:tab/>
            </w:r>
            <w:r w:rsidR="00037599">
              <w:rPr>
                <w:noProof/>
                <w:webHidden/>
              </w:rPr>
              <w:fldChar w:fldCharType="begin"/>
            </w:r>
            <w:r w:rsidR="00037599">
              <w:rPr>
                <w:noProof/>
                <w:webHidden/>
              </w:rPr>
              <w:instrText xml:space="preserve"> PAGEREF _Toc499016919 \h </w:instrText>
            </w:r>
            <w:r w:rsidR="00037599">
              <w:rPr>
                <w:noProof/>
                <w:webHidden/>
              </w:rPr>
            </w:r>
            <w:r w:rsidR="00037599">
              <w:rPr>
                <w:noProof/>
                <w:webHidden/>
              </w:rPr>
              <w:fldChar w:fldCharType="separate"/>
            </w:r>
            <w:r w:rsidR="00037599">
              <w:rPr>
                <w:noProof/>
                <w:webHidden/>
              </w:rPr>
              <w:t>12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0" w:history="1">
            <w:r w:rsidR="00037599" w:rsidRPr="007B0839">
              <w:rPr>
                <w:rStyle w:val="Hipercze"/>
                <w:rFonts w:ascii="Arial" w:hAnsi="Arial" w:cs="Arial"/>
                <w:i/>
                <w:noProof/>
              </w:rPr>
              <w:t>3.2</w:t>
            </w:r>
            <w:r w:rsidR="00037599">
              <w:rPr>
                <w:noProof/>
              </w:rPr>
              <w:tab/>
            </w:r>
            <w:r w:rsidR="00037599" w:rsidRPr="007B0839">
              <w:rPr>
                <w:rStyle w:val="Hipercze"/>
                <w:rFonts w:ascii="Arial" w:hAnsi="Arial" w:cs="Arial"/>
                <w:i/>
                <w:noProof/>
              </w:rPr>
              <w:t>Wydatki niekwalifikowalne</w:t>
            </w:r>
            <w:r w:rsidR="00037599">
              <w:rPr>
                <w:noProof/>
                <w:webHidden/>
              </w:rPr>
              <w:tab/>
            </w:r>
            <w:r w:rsidR="00037599">
              <w:rPr>
                <w:noProof/>
                <w:webHidden/>
              </w:rPr>
              <w:fldChar w:fldCharType="begin"/>
            </w:r>
            <w:r w:rsidR="00037599">
              <w:rPr>
                <w:noProof/>
                <w:webHidden/>
              </w:rPr>
              <w:instrText xml:space="preserve"> PAGEREF _Toc499016920 \h </w:instrText>
            </w:r>
            <w:r w:rsidR="00037599">
              <w:rPr>
                <w:noProof/>
                <w:webHidden/>
              </w:rPr>
            </w:r>
            <w:r w:rsidR="00037599">
              <w:rPr>
                <w:noProof/>
                <w:webHidden/>
              </w:rPr>
              <w:fldChar w:fldCharType="separate"/>
            </w:r>
            <w:r w:rsidR="00037599">
              <w:rPr>
                <w:noProof/>
                <w:webHidden/>
              </w:rPr>
              <w:t>12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1" w:history="1">
            <w:r w:rsidR="00037599" w:rsidRPr="007B0839">
              <w:rPr>
                <w:rStyle w:val="Hipercze"/>
                <w:rFonts w:ascii="Arial" w:hAnsi="Arial" w:cs="Arial"/>
                <w:i/>
                <w:noProof/>
              </w:rPr>
              <w:t>3.3</w:t>
            </w:r>
            <w:r w:rsidR="00037599">
              <w:rPr>
                <w:noProof/>
              </w:rPr>
              <w:tab/>
            </w:r>
            <w:r w:rsidR="00037599" w:rsidRPr="007B0839">
              <w:rPr>
                <w:rStyle w:val="Hipercze"/>
                <w:rFonts w:ascii="Arial" w:hAnsi="Arial" w:cs="Arial"/>
                <w:i/>
                <w:noProof/>
              </w:rPr>
              <w:t>Zasada faktycznego poniesienia wydatku</w:t>
            </w:r>
            <w:r w:rsidR="00037599">
              <w:rPr>
                <w:noProof/>
                <w:webHidden/>
              </w:rPr>
              <w:tab/>
            </w:r>
            <w:r w:rsidR="00037599">
              <w:rPr>
                <w:noProof/>
                <w:webHidden/>
              </w:rPr>
              <w:fldChar w:fldCharType="begin"/>
            </w:r>
            <w:r w:rsidR="00037599">
              <w:rPr>
                <w:noProof/>
                <w:webHidden/>
              </w:rPr>
              <w:instrText xml:space="preserve"> PAGEREF _Toc499016921 \h </w:instrText>
            </w:r>
            <w:r w:rsidR="00037599">
              <w:rPr>
                <w:noProof/>
                <w:webHidden/>
              </w:rPr>
            </w:r>
            <w:r w:rsidR="00037599">
              <w:rPr>
                <w:noProof/>
                <w:webHidden/>
              </w:rPr>
              <w:fldChar w:fldCharType="separate"/>
            </w:r>
            <w:r w:rsidR="00037599">
              <w:rPr>
                <w:noProof/>
                <w:webHidden/>
              </w:rPr>
              <w:t>12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2" w:history="1">
            <w:r w:rsidR="00037599" w:rsidRPr="007B0839">
              <w:rPr>
                <w:rStyle w:val="Hipercze"/>
                <w:rFonts w:ascii="Arial" w:hAnsi="Arial" w:cs="Arial"/>
                <w:i/>
                <w:noProof/>
              </w:rPr>
              <w:t>3.4</w:t>
            </w:r>
            <w:r w:rsidR="00037599">
              <w:rPr>
                <w:noProof/>
              </w:rPr>
              <w:tab/>
            </w:r>
            <w:r w:rsidR="00037599" w:rsidRPr="007B0839">
              <w:rPr>
                <w:rStyle w:val="Hipercze"/>
                <w:rFonts w:ascii="Arial" w:hAnsi="Arial" w:cs="Arial"/>
                <w:i/>
                <w:noProof/>
              </w:rPr>
              <w:t>Uproszczone metody rozliczania wydatków</w:t>
            </w:r>
            <w:r w:rsidR="00037599">
              <w:rPr>
                <w:noProof/>
                <w:webHidden/>
              </w:rPr>
              <w:tab/>
            </w:r>
            <w:r w:rsidR="00037599">
              <w:rPr>
                <w:noProof/>
                <w:webHidden/>
              </w:rPr>
              <w:fldChar w:fldCharType="begin"/>
            </w:r>
            <w:r w:rsidR="00037599">
              <w:rPr>
                <w:noProof/>
                <w:webHidden/>
              </w:rPr>
              <w:instrText xml:space="preserve"> PAGEREF _Toc499016922 \h </w:instrText>
            </w:r>
            <w:r w:rsidR="00037599">
              <w:rPr>
                <w:noProof/>
                <w:webHidden/>
              </w:rPr>
            </w:r>
            <w:r w:rsidR="00037599">
              <w:rPr>
                <w:noProof/>
                <w:webHidden/>
              </w:rPr>
              <w:fldChar w:fldCharType="separate"/>
            </w:r>
            <w:r w:rsidR="00037599">
              <w:rPr>
                <w:noProof/>
                <w:webHidden/>
              </w:rPr>
              <w:t>19</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3" w:history="1">
            <w:r w:rsidR="00037599" w:rsidRPr="007B0839">
              <w:rPr>
                <w:rStyle w:val="Hipercze"/>
                <w:rFonts w:ascii="Arial" w:hAnsi="Arial" w:cs="Arial"/>
                <w:i/>
                <w:noProof/>
              </w:rPr>
              <w:t>3.5</w:t>
            </w:r>
            <w:r w:rsidR="00037599">
              <w:rPr>
                <w:noProof/>
              </w:rPr>
              <w:tab/>
            </w:r>
            <w:r w:rsidR="00037599" w:rsidRPr="007B0839">
              <w:rPr>
                <w:rStyle w:val="Hipercze"/>
                <w:rFonts w:ascii="Arial" w:hAnsi="Arial" w:cs="Arial"/>
                <w:i/>
                <w:noProof/>
              </w:rPr>
              <w:t>Zamówienia udzielane w projektach</w:t>
            </w:r>
            <w:r w:rsidR="00037599">
              <w:rPr>
                <w:noProof/>
                <w:webHidden/>
              </w:rPr>
              <w:tab/>
            </w:r>
            <w:r w:rsidR="00037599">
              <w:rPr>
                <w:noProof/>
                <w:webHidden/>
              </w:rPr>
              <w:fldChar w:fldCharType="begin"/>
            </w:r>
            <w:r w:rsidR="00037599">
              <w:rPr>
                <w:noProof/>
                <w:webHidden/>
              </w:rPr>
              <w:instrText xml:space="preserve"> PAGEREF _Toc499016923 \h </w:instrText>
            </w:r>
            <w:r w:rsidR="00037599">
              <w:rPr>
                <w:noProof/>
                <w:webHidden/>
              </w:rPr>
            </w:r>
            <w:r w:rsidR="00037599">
              <w:rPr>
                <w:noProof/>
                <w:webHidden/>
              </w:rPr>
              <w:fldChar w:fldCharType="separate"/>
            </w:r>
            <w:r w:rsidR="00037599">
              <w:rPr>
                <w:noProof/>
                <w:webHidden/>
              </w:rPr>
              <w:t>21</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4" w:history="1">
            <w:r w:rsidR="00037599" w:rsidRPr="007B0839">
              <w:rPr>
                <w:rStyle w:val="Hipercze"/>
                <w:rFonts w:ascii="Arial" w:hAnsi="Arial" w:cs="Arial"/>
                <w:i/>
                <w:noProof/>
              </w:rPr>
              <w:t>3.6</w:t>
            </w:r>
            <w:r w:rsidR="00037599">
              <w:rPr>
                <w:noProof/>
              </w:rPr>
              <w:tab/>
            </w:r>
            <w:r w:rsidR="00037599" w:rsidRPr="007B0839">
              <w:rPr>
                <w:rStyle w:val="Hipercze"/>
                <w:rFonts w:ascii="Arial" w:hAnsi="Arial" w:cs="Arial"/>
                <w:i/>
                <w:noProof/>
              </w:rPr>
              <w:t>Wkład niepieniężny</w:t>
            </w:r>
            <w:r w:rsidR="00037599">
              <w:rPr>
                <w:noProof/>
                <w:webHidden/>
              </w:rPr>
              <w:tab/>
            </w:r>
            <w:r w:rsidR="00037599">
              <w:rPr>
                <w:noProof/>
                <w:webHidden/>
              </w:rPr>
              <w:fldChar w:fldCharType="begin"/>
            </w:r>
            <w:r w:rsidR="00037599">
              <w:rPr>
                <w:noProof/>
                <w:webHidden/>
              </w:rPr>
              <w:instrText xml:space="preserve"> PAGEREF _Toc499016924 \h </w:instrText>
            </w:r>
            <w:r w:rsidR="00037599">
              <w:rPr>
                <w:noProof/>
                <w:webHidden/>
              </w:rPr>
            </w:r>
            <w:r w:rsidR="00037599">
              <w:rPr>
                <w:noProof/>
                <w:webHidden/>
              </w:rPr>
              <w:fldChar w:fldCharType="separate"/>
            </w:r>
            <w:r w:rsidR="00037599">
              <w:rPr>
                <w:noProof/>
                <w:webHidden/>
              </w:rPr>
              <w:t>21</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7" w:history="1">
            <w:r w:rsidR="00037599" w:rsidRPr="007B0839">
              <w:rPr>
                <w:rStyle w:val="Hipercze"/>
                <w:rFonts w:ascii="Arial" w:hAnsi="Arial" w:cs="Arial"/>
                <w:i/>
                <w:noProof/>
              </w:rPr>
              <w:t>3.7</w:t>
            </w:r>
            <w:r w:rsidR="00037599">
              <w:rPr>
                <w:noProof/>
              </w:rPr>
              <w:tab/>
            </w:r>
            <w:r w:rsidR="00037599" w:rsidRPr="007B0839">
              <w:rPr>
                <w:rStyle w:val="Hipercze"/>
                <w:rFonts w:ascii="Arial" w:hAnsi="Arial" w:cs="Arial"/>
                <w:i/>
                <w:noProof/>
              </w:rPr>
              <w:t>Leasing</w:t>
            </w:r>
            <w:r w:rsidR="00037599">
              <w:rPr>
                <w:noProof/>
                <w:webHidden/>
              </w:rPr>
              <w:tab/>
            </w:r>
            <w:r w:rsidR="00037599">
              <w:rPr>
                <w:noProof/>
                <w:webHidden/>
              </w:rPr>
              <w:fldChar w:fldCharType="begin"/>
            </w:r>
            <w:r w:rsidR="00037599">
              <w:rPr>
                <w:noProof/>
                <w:webHidden/>
              </w:rPr>
              <w:instrText xml:space="preserve"> PAGEREF _Toc499016927 \h </w:instrText>
            </w:r>
            <w:r w:rsidR="00037599">
              <w:rPr>
                <w:noProof/>
                <w:webHidden/>
              </w:rPr>
            </w:r>
            <w:r w:rsidR="00037599">
              <w:rPr>
                <w:noProof/>
                <w:webHidden/>
              </w:rPr>
              <w:fldChar w:fldCharType="separate"/>
            </w:r>
            <w:r w:rsidR="00037599">
              <w:rPr>
                <w:noProof/>
                <w:webHidden/>
              </w:rPr>
              <w:t>21</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8" w:history="1">
            <w:r w:rsidR="00037599" w:rsidRPr="007B0839">
              <w:rPr>
                <w:rStyle w:val="Hipercze"/>
                <w:rFonts w:ascii="Arial" w:hAnsi="Arial" w:cs="Arial"/>
                <w:i/>
                <w:noProof/>
              </w:rPr>
              <w:t>3.8</w:t>
            </w:r>
            <w:r w:rsidR="00037599">
              <w:rPr>
                <w:noProof/>
              </w:rPr>
              <w:tab/>
            </w:r>
            <w:r w:rsidR="00037599" w:rsidRPr="007B0839">
              <w:rPr>
                <w:rStyle w:val="Hipercze"/>
                <w:rFonts w:ascii="Arial" w:hAnsi="Arial" w:cs="Arial"/>
                <w:i/>
                <w:noProof/>
              </w:rPr>
              <w:t>Projekty generujące dochód po zakończeniu realizacji projektów</w:t>
            </w:r>
            <w:r w:rsidR="00037599">
              <w:rPr>
                <w:noProof/>
                <w:webHidden/>
              </w:rPr>
              <w:tab/>
            </w:r>
            <w:r w:rsidR="00037599">
              <w:rPr>
                <w:noProof/>
                <w:webHidden/>
              </w:rPr>
              <w:fldChar w:fldCharType="begin"/>
            </w:r>
            <w:r w:rsidR="00037599">
              <w:rPr>
                <w:noProof/>
                <w:webHidden/>
              </w:rPr>
              <w:instrText xml:space="preserve"> PAGEREF _Toc499016928 \h </w:instrText>
            </w:r>
            <w:r w:rsidR="00037599">
              <w:rPr>
                <w:noProof/>
                <w:webHidden/>
              </w:rPr>
            </w:r>
            <w:r w:rsidR="00037599">
              <w:rPr>
                <w:noProof/>
                <w:webHidden/>
              </w:rPr>
              <w:fldChar w:fldCharType="separate"/>
            </w:r>
            <w:r w:rsidR="00037599">
              <w:rPr>
                <w:noProof/>
                <w:webHidden/>
              </w:rPr>
              <w:t>22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29" w:history="1">
            <w:r w:rsidR="00037599" w:rsidRPr="007B0839">
              <w:rPr>
                <w:rStyle w:val="Hipercze"/>
                <w:rFonts w:ascii="Arial" w:hAnsi="Arial" w:cs="Arial"/>
                <w:i/>
                <w:noProof/>
              </w:rPr>
              <w:t>3.9</w:t>
            </w:r>
            <w:r w:rsidR="00037599">
              <w:rPr>
                <w:noProof/>
              </w:rPr>
              <w:tab/>
            </w:r>
            <w:r w:rsidR="00037599" w:rsidRPr="007B0839">
              <w:rPr>
                <w:rStyle w:val="Hipercze"/>
                <w:rFonts w:ascii="Arial" w:hAnsi="Arial" w:cs="Arial"/>
                <w:i/>
                <w:noProof/>
              </w:rPr>
              <w:t>Kwalifikowalność podatku VAT i innych podatków, opłat i obciążeń</w:t>
            </w:r>
            <w:r w:rsidR="00037599">
              <w:rPr>
                <w:noProof/>
                <w:webHidden/>
              </w:rPr>
              <w:tab/>
            </w:r>
            <w:r w:rsidR="00037599">
              <w:rPr>
                <w:noProof/>
                <w:webHidden/>
              </w:rPr>
              <w:fldChar w:fldCharType="begin"/>
            </w:r>
            <w:r w:rsidR="00037599">
              <w:rPr>
                <w:noProof/>
                <w:webHidden/>
              </w:rPr>
              <w:instrText xml:space="preserve"> PAGEREF _Toc499016929 \h </w:instrText>
            </w:r>
            <w:r w:rsidR="00037599">
              <w:rPr>
                <w:noProof/>
                <w:webHidden/>
              </w:rPr>
            </w:r>
            <w:r w:rsidR="00037599">
              <w:rPr>
                <w:noProof/>
                <w:webHidden/>
              </w:rPr>
              <w:fldChar w:fldCharType="separate"/>
            </w:r>
            <w:r w:rsidR="00037599">
              <w:rPr>
                <w:noProof/>
                <w:webHidden/>
              </w:rPr>
              <w:t>22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0" w:history="1">
            <w:r w:rsidR="00037599" w:rsidRPr="007B0839">
              <w:rPr>
                <w:rStyle w:val="Hipercze"/>
                <w:rFonts w:ascii="Arial" w:hAnsi="Arial" w:cs="Arial"/>
                <w:i/>
                <w:noProof/>
              </w:rPr>
              <w:t>3.10</w:t>
            </w:r>
            <w:r w:rsidR="00037599">
              <w:rPr>
                <w:noProof/>
              </w:rPr>
              <w:tab/>
            </w:r>
            <w:r w:rsidR="00037599" w:rsidRPr="007B0839">
              <w:rPr>
                <w:rStyle w:val="Hipercze"/>
                <w:rFonts w:ascii="Arial" w:hAnsi="Arial" w:cs="Arial"/>
                <w:i/>
                <w:noProof/>
              </w:rPr>
              <w:t>Kwalifikowalność działań informacyjno-promocyjnych</w:t>
            </w:r>
            <w:r w:rsidR="00037599">
              <w:rPr>
                <w:noProof/>
                <w:webHidden/>
              </w:rPr>
              <w:tab/>
            </w:r>
            <w:r w:rsidR="00037599">
              <w:rPr>
                <w:noProof/>
                <w:webHidden/>
              </w:rPr>
              <w:fldChar w:fldCharType="begin"/>
            </w:r>
            <w:r w:rsidR="00037599">
              <w:rPr>
                <w:noProof/>
                <w:webHidden/>
              </w:rPr>
              <w:instrText xml:space="preserve"> PAGEREF _Toc499016930 \h </w:instrText>
            </w:r>
            <w:r w:rsidR="00037599">
              <w:rPr>
                <w:noProof/>
                <w:webHidden/>
              </w:rPr>
            </w:r>
            <w:r w:rsidR="00037599">
              <w:rPr>
                <w:noProof/>
                <w:webHidden/>
              </w:rPr>
              <w:fldChar w:fldCharType="separate"/>
            </w:r>
            <w:r w:rsidR="00037599">
              <w:rPr>
                <w:noProof/>
                <w:webHidden/>
              </w:rPr>
              <w:t>22</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1" w:history="1">
            <w:r w:rsidR="00037599" w:rsidRPr="007B0839">
              <w:rPr>
                <w:rStyle w:val="Hipercze"/>
                <w:rFonts w:ascii="Arial" w:hAnsi="Arial" w:cs="Arial"/>
                <w:i/>
                <w:noProof/>
              </w:rPr>
              <w:t>3.11</w:t>
            </w:r>
            <w:r w:rsidR="00037599">
              <w:rPr>
                <w:noProof/>
              </w:rPr>
              <w:tab/>
            </w:r>
            <w:r w:rsidR="00037599" w:rsidRPr="007B0839">
              <w:rPr>
                <w:rStyle w:val="Hipercze"/>
                <w:rFonts w:ascii="Arial" w:hAnsi="Arial" w:cs="Arial"/>
                <w:i/>
                <w:noProof/>
              </w:rPr>
              <w:t>Koszty pośrednie</w:t>
            </w:r>
            <w:r w:rsidR="00037599">
              <w:rPr>
                <w:noProof/>
                <w:webHidden/>
              </w:rPr>
              <w:tab/>
            </w:r>
            <w:r w:rsidR="00037599">
              <w:rPr>
                <w:noProof/>
                <w:webHidden/>
              </w:rPr>
              <w:fldChar w:fldCharType="begin"/>
            </w:r>
            <w:r w:rsidR="00037599">
              <w:rPr>
                <w:noProof/>
                <w:webHidden/>
              </w:rPr>
              <w:instrText xml:space="preserve"> PAGEREF _Toc499016931 \h </w:instrText>
            </w:r>
            <w:r w:rsidR="00037599">
              <w:rPr>
                <w:noProof/>
                <w:webHidden/>
              </w:rPr>
            </w:r>
            <w:r w:rsidR="00037599">
              <w:rPr>
                <w:noProof/>
                <w:webHidden/>
              </w:rPr>
              <w:fldChar w:fldCharType="separate"/>
            </w:r>
            <w:r w:rsidR="00037599">
              <w:rPr>
                <w:noProof/>
                <w:webHidden/>
              </w:rPr>
              <w:t>23</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2" w:history="1">
            <w:r w:rsidR="00037599" w:rsidRPr="007B0839">
              <w:rPr>
                <w:rStyle w:val="Hipercze"/>
                <w:rFonts w:ascii="Arial" w:hAnsi="Arial" w:cs="Arial"/>
                <w:i/>
                <w:noProof/>
              </w:rPr>
              <w:t>3.12</w:t>
            </w:r>
            <w:r w:rsidR="00037599">
              <w:rPr>
                <w:noProof/>
              </w:rPr>
              <w:tab/>
            </w:r>
            <w:r w:rsidR="00037599" w:rsidRPr="007B0839">
              <w:rPr>
                <w:rStyle w:val="Hipercze"/>
                <w:rFonts w:ascii="Arial" w:hAnsi="Arial" w:cs="Arial"/>
                <w:i/>
                <w:noProof/>
              </w:rPr>
              <w:t>Koszty związane z angażowaniem personelu projektu</w:t>
            </w:r>
            <w:r w:rsidR="00037599">
              <w:rPr>
                <w:noProof/>
                <w:webHidden/>
              </w:rPr>
              <w:tab/>
            </w:r>
            <w:r w:rsidR="00037599">
              <w:rPr>
                <w:noProof/>
                <w:webHidden/>
              </w:rPr>
              <w:fldChar w:fldCharType="begin"/>
            </w:r>
            <w:r w:rsidR="00037599">
              <w:rPr>
                <w:noProof/>
                <w:webHidden/>
              </w:rPr>
              <w:instrText xml:space="preserve"> PAGEREF _Toc499016932 \h </w:instrText>
            </w:r>
            <w:r w:rsidR="00037599">
              <w:rPr>
                <w:noProof/>
                <w:webHidden/>
              </w:rPr>
            </w:r>
            <w:r w:rsidR="00037599">
              <w:rPr>
                <w:noProof/>
                <w:webHidden/>
              </w:rPr>
              <w:fldChar w:fldCharType="separate"/>
            </w:r>
            <w:r w:rsidR="00037599">
              <w:rPr>
                <w:noProof/>
                <w:webHidden/>
              </w:rPr>
              <w:t>23</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3" w:history="1">
            <w:r w:rsidR="00037599" w:rsidRPr="007B0839">
              <w:rPr>
                <w:rStyle w:val="Hipercze"/>
                <w:rFonts w:ascii="Arial" w:hAnsi="Arial" w:cs="Arial"/>
                <w:i/>
                <w:noProof/>
              </w:rPr>
              <w:t>3.13</w:t>
            </w:r>
            <w:r w:rsidR="00037599">
              <w:rPr>
                <w:noProof/>
              </w:rPr>
              <w:tab/>
            </w:r>
            <w:r w:rsidR="00037599" w:rsidRPr="007B0839">
              <w:rPr>
                <w:rStyle w:val="Hipercze"/>
                <w:rFonts w:ascii="Arial" w:hAnsi="Arial" w:cs="Arial"/>
                <w:i/>
                <w:noProof/>
              </w:rPr>
              <w:t>Zmiany projektów</w:t>
            </w:r>
            <w:r w:rsidR="00037599">
              <w:rPr>
                <w:noProof/>
                <w:webHidden/>
              </w:rPr>
              <w:tab/>
            </w:r>
            <w:r w:rsidR="00037599">
              <w:rPr>
                <w:noProof/>
                <w:webHidden/>
              </w:rPr>
              <w:fldChar w:fldCharType="begin"/>
            </w:r>
            <w:r w:rsidR="00037599">
              <w:rPr>
                <w:noProof/>
                <w:webHidden/>
              </w:rPr>
              <w:instrText xml:space="preserve"> PAGEREF _Toc499016933 \h </w:instrText>
            </w:r>
            <w:r w:rsidR="00037599">
              <w:rPr>
                <w:noProof/>
                <w:webHidden/>
              </w:rPr>
            </w:r>
            <w:r w:rsidR="00037599">
              <w:rPr>
                <w:noProof/>
                <w:webHidden/>
              </w:rPr>
              <w:fldChar w:fldCharType="separate"/>
            </w:r>
            <w:r w:rsidR="00037599">
              <w:rPr>
                <w:noProof/>
                <w:webHidden/>
              </w:rPr>
              <w:t>23</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4" w:history="1">
            <w:r w:rsidR="00037599" w:rsidRPr="007B0839">
              <w:rPr>
                <w:rStyle w:val="Hipercze"/>
                <w:rFonts w:ascii="Arial" w:hAnsi="Arial" w:cs="Arial"/>
                <w:i/>
                <w:noProof/>
              </w:rPr>
              <w:t>3.14</w:t>
            </w:r>
            <w:r w:rsidR="00037599">
              <w:rPr>
                <w:noProof/>
              </w:rPr>
              <w:tab/>
            </w:r>
            <w:r w:rsidR="00037599" w:rsidRPr="007B0839">
              <w:rPr>
                <w:rStyle w:val="Hipercze"/>
                <w:rFonts w:ascii="Arial" w:hAnsi="Arial" w:cs="Arial"/>
                <w:i/>
                <w:noProof/>
              </w:rPr>
              <w:t>Podmiot dokonujący wydatków kwalifikowalnych</w:t>
            </w:r>
            <w:r w:rsidR="00037599">
              <w:rPr>
                <w:noProof/>
                <w:webHidden/>
              </w:rPr>
              <w:tab/>
            </w:r>
            <w:r w:rsidR="00037599">
              <w:rPr>
                <w:noProof/>
                <w:webHidden/>
              </w:rPr>
              <w:fldChar w:fldCharType="begin"/>
            </w:r>
            <w:r w:rsidR="00037599">
              <w:rPr>
                <w:noProof/>
                <w:webHidden/>
              </w:rPr>
              <w:instrText xml:space="preserve"> PAGEREF _Toc499016934 \h </w:instrText>
            </w:r>
            <w:r w:rsidR="00037599">
              <w:rPr>
                <w:noProof/>
                <w:webHidden/>
              </w:rPr>
            </w:r>
            <w:r w:rsidR="00037599">
              <w:rPr>
                <w:noProof/>
                <w:webHidden/>
              </w:rPr>
              <w:fldChar w:fldCharType="separate"/>
            </w:r>
            <w:r w:rsidR="00037599">
              <w:rPr>
                <w:noProof/>
                <w:webHidden/>
              </w:rPr>
              <w:t>23</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5" w:history="1">
            <w:r w:rsidR="00037599" w:rsidRPr="007B0839">
              <w:rPr>
                <w:rStyle w:val="Hipercze"/>
                <w:rFonts w:ascii="Arial" w:hAnsi="Arial" w:cs="Arial"/>
                <w:i/>
                <w:noProof/>
              </w:rPr>
              <w:t>3.15</w:t>
            </w:r>
            <w:r w:rsidR="00037599">
              <w:rPr>
                <w:noProof/>
              </w:rPr>
              <w:tab/>
            </w:r>
            <w:r w:rsidR="00037599" w:rsidRPr="007B0839">
              <w:rPr>
                <w:rStyle w:val="Hipercze"/>
                <w:rFonts w:ascii="Arial" w:hAnsi="Arial" w:cs="Arial"/>
                <w:i/>
                <w:noProof/>
              </w:rPr>
              <w:t>Podmiot, na rzecz którego ponoszone są wydatki kwalifikowalne</w:t>
            </w:r>
            <w:r w:rsidR="00037599">
              <w:rPr>
                <w:noProof/>
                <w:webHidden/>
              </w:rPr>
              <w:tab/>
            </w:r>
            <w:r w:rsidR="00037599">
              <w:rPr>
                <w:noProof/>
                <w:webHidden/>
              </w:rPr>
              <w:fldChar w:fldCharType="begin"/>
            </w:r>
            <w:r w:rsidR="00037599">
              <w:rPr>
                <w:noProof/>
                <w:webHidden/>
              </w:rPr>
              <w:instrText xml:space="preserve"> PAGEREF _Toc499016935 \h </w:instrText>
            </w:r>
            <w:r w:rsidR="00037599">
              <w:rPr>
                <w:noProof/>
                <w:webHidden/>
              </w:rPr>
            </w:r>
            <w:r w:rsidR="00037599">
              <w:rPr>
                <w:noProof/>
                <w:webHidden/>
              </w:rPr>
              <w:fldChar w:fldCharType="separate"/>
            </w:r>
            <w:r w:rsidR="00037599">
              <w:rPr>
                <w:noProof/>
                <w:webHidden/>
              </w:rPr>
              <w:t>24</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36" w:history="1">
            <w:r w:rsidR="00037599" w:rsidRPr="007B0839">
              <w:rPr>
                <w:rStyle w:val="Hipercze"/>
                <w:rFonts w:ascii="Arial" w:hAnsi="Arial" w:cs="Arial"/>
                <w:i/>
                <w:noProof/>
              </w:rPr>
              <w:t>3.16</w:t>
            </w:r>
            <w:r w:rsidR="00037599">
              <w:rPr>
                <w:noProof/>
              </w:rPr>
              <w:tab/>
            </w:r>
            <w:r w:rsidR="00037599" w:rsidRPr="007B0839">
              <w:rPr>
                <w:rStyle w:val="Hipercze"/>
                <w:rFonts w:ascii="Arial" w:hAnsi="Arial" w:cs="Arial"/>
                <w:i/>
                <w:noProof/>
              </w:rPr>
              <w:t>Projekty grantowe</w:t>
            </w:r>
            <w:r w:rsidR="00037599">
              <w:rPr>
                <w:noProof/>
                <w:webHidden/>
              </w:rPr>
              <w:tab/>
            </w:r>
            <w:r w:rsidR="00037599">
              <w:rPr>
                <w:noProof/>
                <w:webHidden/>
              </w:rPr>
              <w:fldChar w:fldCharType="begin"/>
            </w:r>
            <w:r w:rsidR="00037599">
              <w:rPr>
                <w:noProof/>
                <w:webHidden/>
              </w:rPr>
              <w:instrText xml:space="preserve"> PAGEREF _Toc499016936 \h </w:instrText>
            </w:r>
            <w:r w:rsidR="00037599">
              <w:rPr>
                <w:noProof/>
                <w:webHidden/>
              </w:rPr>
            </w:r>
            <w:r w:rsidR="00037599">
              <w:rPr>
                <w:noProof/>
                <w:webHidden/>
              </w:rPr>
              <w:fldChar w:fldCharType="separate"/>
            </w:r>
            <w:r w:rsidR="00037599">
              <w:rPr>
                <w:noProof/>
                <w:webHidden/>
              </w:rPr>
              <w:t>26</w:t>
            </w:r>
            <w:r w:rsidR="00037599">
              <w:rPr>
                <w:noProof/>
                <w:webHidden/>
              </w:rPr>
              <w:fldChar w:fldCharType="end"/>
            </w:r>
          </w:hyperlink>
        </w:p>
        <w:p w:rsidR="00037599" w:rsidRDefault="00846915">
          <w:pPr>
            <w:pStyle w:val="Spistreci1"/>
            <w:rPr>
              <w:rFonts w:asciiTheme="minorHAnsi" w:hAnsiTheme="minorHAnsi" w:cstheme="minorBidi"/>
              <w:b w:val="0"/>
            </w:rPr>
          </w:pPr>
          <w:hyperlink w:anchor="_Toc499016937" w:history="1">
            <w:r w:rsidR="00037599" w:rsidRPr="007B0839">
              <w:rPr>
                <w:rStyle w:val="Hipercze"/>
                <w:rFonts w:eastAsia="MS Mincho"/>
                <w:lang w:eastAsia="ja-JP"/>
              </w:rPr>
              <w:t>4.</w:t>
            </w:r>
            <w:r w:rsidR="00037599">
              <w:rPr>
                <w:rFonts w:asciiTheme="minorHAnsi" w:hAnsiTheme="minorHAnsi" w:cstheme="minorBidi"/>
                <w:b w:val="0"/>
              </w:rPr>
              <w:tab/>
            </w:r>
            <w:r w:rsidR="00037599" w:rsidRPr="007B0839">
              <w:rPr>
                <w:rStyle w:val="Hipercze"/>
              </w:rPr>
              <w:t xml:space="preserve">Rozdział - Oś priorytetowa III. </w:t>
            </w:r>
            <w:r w:rsidR="00037599" w:rsidRPr="007B0839">
              <w:rPr>
                <w:rStyle w:val="Hipercze"/>
                <w:i/>
              </w:rPr>
              <w:t>Cyfrowe kompetencje społeczeństwa</w:t>
            </w:r>
            <w:r w:rsidR="00037599" w:rsidRPr="007B0839">
              <w:rPr>
                <w:rStyle w:val="Hipercze"/>
              </w:rPr>
              <w:t xml:space="preserve"> - szczegółowe zasady kwalifikowalności wydatków w ramach EFRR</w:t>
            </w:r>
            <w:r w:rsidR="00037599">
              <w:rPr>
                <w:webHidden/>
              </w:rPr>
              <w:tab/>
            </w:r>
            <w:r w:rsidR="00037599">
              <w:rPr>
                <w:webHidden/>
              </w:rPr>
              <w:fldChar w:fldCharType="begin"/>
            </w:r>
            <w:r w:rsidR="00037599">
              <w:rPr>
                <w:webHidden/>
              </w:rPr>
              <w:instrText xml:space="preserve"> PAGEREF _Toc499016937 \h </w:instrText>
            </w:r>
            <w:r w:rsidR="00037599">
              <w:rPr>
                <w:webHidden/>
              </w:rPr>
            </w:r>
            <w:r w:rsidR="00037599">
              <w:rPr>
                <w:webHidden/>
              </w:rPr>
              <w:fldChar w:fldCharType="separate"/>
            </w:r>
            <w:r w:rsidR="00037599">
              <w:rPr>
                <w:webHidden/>
              </w:rPr>
              <w:t>27</w:t>
            </w:r>
            <w:r w:rsidR="00037599">
              <w:rPr>
                <w:webHidden/>
              </w:rPr>
              <w:fldChar w:fldCharType="end"/>
            </w:r>
          </w:hyperlink>
        </w:p>
        <w:p w:rsidR="00037599" w:rsidRDefault="00846915">
          <w:pPr>
            <w:pStyle w:val="Spistreci2"/>
            <w:tabs>
              <w:tab w:val="left" w:pos="880"/>
              <w:tab w:val="right" w:leader="dot" w:pos="9062"/>
            </w:tabs>
            <w:rPr>
              <w:noProof/>
            </w:rPr>
          </w:pPr>
          <w:hyperlink w:anchor="_Toc499016938" w:history="1">
            <w:r w:rsidR="00037599" w:rsidRPr="007B0839">
              <w:rPr>
                <w:rStyle w:val="Hipercze"/>
                <w:rFonts w:ascii="Arial" w:hAnsi="Arial" w:cs="Arial"/>
                <w:i/>
                <w:noProof/>
              </w:rPr>
              <w:t>4.1</w:t>
            </w:r>
            <w:r w:rsidR="00037599">
              <w:rPr>
                <w:noProof/>
              </w:rPr>
              <w:tab/>
            </w:r>
            <w:r w:rsidR="00037599" w:rsidRPr="007B0839">
              <w:rPr>
                <w:rStyle w:val="Hipercze"/>
                <w:rFonts w:ascii="Arial" w:hAnsi="Arial" w:cs="Arial"/>
                <w:i/>
                <w:noProof/>
              </w:rPr>
              <w:t>Katalog wydatków kwalifikowalnych w ramach Działania 3.1  Działania szkoleniowe na rzecz rozwoju kompetencji cyfrowych dla naboru nr POPC.03.01.00-IP.01-00-001/15</w:t>
            </w:r>
            <w:r w:rsidR="00037599">
              <w:rPr>
                <w:noProof/>
                <w:webHidden/>
              </w:rPr>
              <w:tab/>
            </w:r>
            <w:r w:rsidR="00037599">
              <w:rPr>
                <w:noProof/>
                <w:webHidden/>
              </w:rPr>
              <w:fldChar w:fldCharType="begin"/>
            </w:r>
            <w:r w:rsidR="00037599">
              <w:rPr>
                <w:noProof/>
                <w:webHidden/>
              </w:rPr>
              <w:instrText xml:space="preserve"> PAGEREF _Toc499016938 \h </w:instrText>
            </w:r>
            <w:r w:rsidR="00037599">
              <w:rPr>
                <w:noProof/>
                <w:webHidden/>
              </w:rPr>
            </w:r>
            <w:r w:rsidR="00037599">
              <w:rPr>
                <w:noProof/>
                <w:webHidden/>
              </w:rPr>
              <w:fldChar w:fldCharType="separate"/>
            </w:r>
            <w:r w:rsidR="00037599">
              <w:rPr>
                <w:noProof/>
                <w:webHidden/>
              </w:rPr>
              <w:t>27</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39" w:history="1">
            <w:r w:rsidR="00037599" w:rsidRPr="007B0839">
              <w:rPr>
                <w:rStyle w:val="Hipercze"/>
                <w:rFonts w:ascii="Arial" w:hAnsi="Arial" w:cs="Arial"/>
                <w:i/>
                <w:noProof/>
              </w:rPr>
              <w:t>4.1.1</w:t>
            </w:r>
            <w:r w:rsidR="00037599">
              <w:rPr>
                <w:noProof/>
              </w:rPr>
              <w:tab/>
            </w:r>
            <w:r w:rsidR="00037599" w:rsidRPr="007B0839">
              <w:rPr>
                <w:rStyle w:val="Hipercze"/>
                <w:rFonts w:ascii="Arial" w:hAnsi="Arial" w:cs="Arial"/>
                <w:i/>
                <w:noProof/>
              </w:rPr>
              <w:t>Dokumentacja niezbędna do przygotowania projektu</w:t>
            </w:r>
            <w:r w:rsidR="00037599">
              <w:rPr>
                <w:noProof/>
                <w:webHidden/>
              </w:rPr>
              <w:tab/>
            </w:r>
            <w:r w:rsidR="00037599">
              <w:rPr>
                <w:noProof/>
                <w:webHidden/>
              </w:rPr>
              <w:fldChar w:fldCharType="begin"/>
            </w:r>
            <w:r w:rsidR="00037599">
              <w:rPr>
                <w:noProof/>
                <w:webHidden/>
              </w:rPr>
              <w:instrText xml:space="preserve"> PAGEREF _Toc499016939 \h </w:instrText>
            </w:r>
            <w:r w:rsidR="00037599">
              <w:rPr>
                <w:noProof/>
                <w:webHidden/>
              </w:rPr>
            </w:r>
            <w:r w:rsidR="00037599">
              <w:rPr>
                <w:noProof/>
                <w:webHidden/>
              </w:rPr>
              <w:fldChar w:fldCharType="separate"/>
            </w:r>
            <w:r w:rsidR="00037599">
              <w:rPr>
                <w:noProof/>
                <w:webHidden/>
              </w:rPr>
              <w:t>27</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40" w:history="1">
            <w:r w:rsidR="00037599" w:rsidRPr="007B0839">
              <w:rPr>
                <w:rStyle w:val="Hipercze"/>
                <w:rFonts w:ascii="Arial" w:hAnsi="Arial" w:cs="Arial"/>
                <w:i/>
                <w:noProof/>
              </w:rPr>
              <w:t>4.1.2</w:t>
            </w:r>
            <w:r w:rsidR="00037599">
              <w:rPr>
                <w:noProof/>
              </w:rPr>
              <w:tab/>
            </w:r>
            <w:r w:rsidR="00037599" w:rsidRPr="007B0839">
              <w:rPr>
                <w:rStyle w:val="Hipercze"/>
                <w:rFonts w:ascii="Arial" w:hAnsi="Arial" w:cs="Arial"/>
                <w:i/>
                <w:noProof/>
              </w:rPr>
              <w:t>Pozostałe wydatki kwalifikowalne</w:t>
            </w:r>
            <w:r w:rsidR="00037599">
              <w:rPr>
                <w:noProof/>
                <w:webHidden/>
              </w:rPr>
              <w:tab/>
            </w:r>
            <w:r w:rsidR="00037599">
              <w:rPr>
                <w:noProof/>
                <w:webHidden/>
              </w:rPr>
              <w:fldChar w:fldCharType="begin"/>
            </w:r>
            <w:r w:rsidR="00037599">
              <w:rPr>
                <w:noProof/>
                <w:webHidden/>
              </w:rPr>
              <w:instrText xml:space="preserve"> PAGEREF _Toc499016940 \h </w:instrText>
            </w:r>
            <w:r w:rsidR="00037599">
              <w:rPr>
                <w:noProof/>
                <w:webHidden/>
              </w:rPr>
            </w:r>
            <w:r w:rsidR="00037599">
              <w:rPr>
                <w:noProof/>
                <w:webHidden/>
              </w:rPr>
              <w:fldChar w:fldCharType="separate"/>
            </w:r>
            <w:r w:rsidR="00037599">
              <w:rPr>
                <w:noProof/>
                <w:webHidden/>
              </w:rPr>
              <w:t>27</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41" w:history="1">
            <w:r w:rsidR="00037599" w:rsidRPr="007B0839">
              <w:rPr>
                <w:rStyle w:val="Hipercze"/>
                <w:rFonts w:ascii="Arial" w:hAnsi="Arial" w:cs="Arial"/>
                <w:i/>
                <w:noProof/>
              </w:rPr>
              <w:t>4.2</w:t>
            </w:r>
            <w:r w:rsidR="00037599">
              <w:rPr>
                <w:noProof/>
              </w:rPr>
              <w:tab/>
            </w:r>
            <w:r w:rsidR="00037599" w:rsidRPr="007B0839">
              <w:rPr>
                <w:rStyle w:val="Hipercze"/>
                <w:rFonts w:ascii="Arial" w:hAnsi="Arial" w:cs="Arial"/>
                <w:i/>
                <w:noProof/>
              </w:rPr>
              <w:t>Katalog wydatków kwalifikowalnych w ramach Działania 3.1 Działania szkoleniowe na rzecz rozwoju kompetencji cyfrowych dla naboru nr POPC.03.01.00-IP.01-00-002/17</w:t>
            </w:r>
            <w:r w:rsidR="00037599">
              <w:rPr>
                <w:noProof/>
                <w:webHidden/>
              </w:rPr>
              <w:tab/>
            </w:r>
            <w:r w:rsidR="00037599">
              <w:rPr>
                <w:noProof/>
                <w:webHidden/>
              </w:rPr>
              <w:fldChar w:fldCharType="begin"/>
            </w:r>
            <w:r w:rsidR="00037599">
              <w:rPr>
                <w:noProof/>
                <w:webHidden/>
              </w:rPr>
              <w:instrText xml:space="preserve"> PAGEREF _Toc499016941 \h </w:instrText>
            </w:r>
            <w:r w:rsidR="00037599">
              <w:rPr>
                <w:noProof/>
                <w:webHidden/>
              </w:rPr>
            </w:r>
            <w:r w:rsidR="00037599">
              <w:rPr>
                <w:noProof/>
                <w:webHidden/>
              </w:rPr>
              <w:fldChar w:fldCharType="separate"/>
            </w:r>
            <w:r w:rsidR="00037599">
              <w:rPr>
                <w:noProof/>
                <w:webHidden/>
              </w:rPr>
              <w:t>31</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42" w:history="1">
            <w:r w:rsidR="00037599" w:rsidRPr="007B0839">
              <w:rPr>
                <w:rStyle w:val="Hipercze"/>
                <w:rFonts w:ascii="Arial" w:eastAsiaTheme="majorEastAsia" w:hAnsi="Arial" w:cs="Arial"/>
                <w:bCs/>
                <w:i/>
                <w:noProof/>
              </w:rPr>
              <w:t>4.2.1</w:t>
            </w:r>
            <w:r w:rsidR="00037599">
              <w:rPr>
                <w:noProof/>
              </w:rPr>
              <w:tab/>
            </w:r>
            <w:r w:rsidR="00037599" w:rsidRPr="007B0839">
              <w:rPr>
                <w:rStyle w:val="Hipercze"/>
                <w:rFonts w:ascii="Arial" w:eastAsiaTheme="majorEastAsia" w:hAnsi="Arial" w:cs="Arial"/>
                <w:bCs/>
                <w:i/>
                <w:noProof/>
              </w:rPr>
              <w:t>Dokumentacja niezbędna do przygotowania projektu</w:t>
            </w:r>
            <w:r w:rsidR="00037599">
              <w:rPr>
                <w:noProof/>
                <w:webHidden/>
              </w:rPr>
              <w:tab/>
            </w:r>
            <w:r w:rsidR="00037599">
              <w:rPr>
                <w:noProof/>
                <w:webHidden/>
              </w:rPr>
              <w:fldChar w:fldCharType="begin"/>
            </w:r>
            <w:r w:rsidR="00037599">
              <w:rPr>
                <w:noProof/>
                <w:webHidden/>
              </w:rPr>
              <w:instrText xml:space="preserve"> PAGEREF _Toc499016942 \h </w:instrText>
            </w:r>
            <w:r w:rsidR="00037599">
              <w:rPr>
                <w:noProof/>
                <w:webHidden/>
              </w:rPr>
            </w:r>
            <w:r w:rsidR="00037599">
              <w:rPr>
                <w:noProof/>
                <w:webHidden/>
              </w:rPr>
              <w:fldChar w:fldCharType="separate"/>
            </w:r>
            <w:r w:rsidR="00037599">
              <w:rPr>
                <w:noProof/>
                <w:webHidden/>
              </w:rPr>
              <w:t>31</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43" w:history="1">
            <w:r w:rsidR="00037599" w:rsidRPr="007B0839">
              <w:rPr>
                <w:rStyle w:val="Hipercze"/>
                <w:rFonts w:ascii="Arial" w:eastAsiaTheme="majorEastAsia" w:hAnsi="Arial" w:cs="Arial"/>
                <w:bCs/>
                <w:i/>
                <w:noProof/>
              </w:rPr>
              <w:t>4.2.2</w:t>
            </w:r>
            <w:r w:rsidR="00037599">
              <w:rPr>
                <w:noProof/>
              </w:rPr>
              <w:tab/>
            </w:r>
            <w:r w:rsidR="00037599" w:rsidRPr="007B0839">
              <w:rPr>
                <w:rStyle w:val="Hipercze"/>
                <w:rFonts w:ascii="Arial" w:eastAsiaTheme="majorEastAsia" w:hAnsi="Arial" w:cs="Arial"/>
                <w:bCs/>
                <w:i/>
                <w:noProof/>
              </w:rPr>
              <w:t>Pozostałe wydatki kwalifikowalne</w:t>
            </w:r>
            <w:r w:rsidR="00037599">
              <w:rPr>
                <w:noProof/>
                <w:webHidden/>
              </w:rPr>
              <w:tab/>
            </w:r>
            <w:r w:rsidR="00037599">
              <w:rPr>
                <w:noProof/>
                <w:webHidden/>
              </w:rPr>
              <w:fldChar w:fldCharType="begin"/>
            </w:r>
            <w:r w:rsidR="00037599">
              <w:rPr>
                <w:noProof/>
                <w:webHidden/>
              </w:rPr>
              <w:instrText xml:space="preserve"> PAGEREF _Toc499016943 \h </w:instrText>
            </w:r>
            <w:r w:rsidR="00037599">
              <w:rPr>
                <w:noProof/>
                <w:webHidden/>
              </w:rPr>
            </w:r>
            <w:r w:rsidR="00037599">
              <w:rPr>
                <w:noProof/>
                <w:webHidden/>
              </w:rPr>
              <w:fldChar w:fldCharType="separate"/>
            </w:r>
            <w:r w:rsidR="00037599">
              <w:rPr>
                <w:noProof/>
                <w:webHidden/>
              </w:rPr>
              <w:t>31</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44" w:history="1">
            <w:r w:rsidR="00037599" w:rsidRPr="007B0839">
              <w:rPr>
                <w:rStyle w:val="Hipercze"/>
                <w:rFonts w:ascii="Arial" w:eastAsiaTheme="majorEastAsia" w:hAnsi="Arial" w:cs="Arial"/>
                <w:b/>
                <w:bCs/>
                <w:i/>
                <w:noProof/>
              </w:rPr>
              <w:t>4.3</w:t>
            </w:r>
            <w:r w:rsidR="00037599">
              <w:rPr>
                <w:noProof/>
              </w:rPr>
              <w:tab/>
            </w:r>
            <w:r w:rsidR="00037599" w:rsidRPr="007B0839">
              <w:rPr>
                <w:rStyle w:val="Hipercze"/>
                <w:rFonts w:ascii="Arial" w:eastAsiaTheme="majorEastAsia" w:hAnsi="Arial" w:cs="Arial"/>
                <w:b/>
                <w:bCs/>
                <w:i/>
                <w:noProof/>
              </w:rPr>
              <w:t>Katalog wydatków kwalifikowalnych w ramach Działania 3.1 Działania szkoleniowe na rzecz rozwoju kompetencji cyfrowych dla naboru nr POPC.03.01.00-IP.01-00-003/17</w:t>
            </w:r>
            <w:r w:rsidR="00037599">
              <w:rPr>
                <w:noProof/>
                <w:webHidden/>
              </w:rPr>
              <w:tab/>
            </w:r>
            <w:r w:rsidR="00037599">
              <w:rPr>
                <w:noProof/>
                <w:webHidden/>
              </w:rPr>
              <w:fldChar w:fldCharType="begin"/>
            </w:r>
            <w:r w:rsidR="00037599">
              <w:rPr>
                <w:noProof/>
                <w:webHidden/>
              </w:rPr>
              <w:instrText xml:space="preserve"> PAGEREF _Toc499016944 \h </w:instrText>
            </w:r>
            <w:r w:rsidR="00037599">
              <w:rPr>
                <w:noProof/>
                <w:webHidden/>
              </w:rPr>
            </w:r>
            <w:r w:rsidR="00037599">
              <w:rPr>
                <w:noProof/>
                <w:webHidden/>
              </w:rPr>
              <w:fldChar w:fldCharType="separate"/>
            </w:r>
            <w:r w:rsidR="00037599">
              <w:rPr>
                <w:noProof/>
                <w:webHidden/>
              </w:rPr>
              <w:t>35</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45" w:history="1">
            <w:r w:rsidR="00037599" w:rsidRPr="007B0839">
              <w:rPr>
                <w:rStyle w:val="Hipercze"/>
                <w:rFonts w:ascii="Arial" w:eastAsiaTheme="majorEastAsia" w:hAnsi="Arial" w:cs="Arial"/>
                <w:bCs/>
                <w:i/>
                <w:noProof/>
              </w:rPr>
              <w:t>4.3.1</w:t>
            </w:r>
            <w:r w:rsidR="00037599">
              <w:rPr>
                <w:noProof/>
              </w:rPr>
              <w:tab/>
            </w:r>
            <w:r w:rsidR="00037599" w:rsidRPr="007B0839">
              <w:rPr>
                <w:rStyle w:val="Hipercze"/>
                <w:rFonts w:ascii="Arial" w:eastAsiaTheme="majorEastAsia" w:hAnsi="Arial" w:cs="Arial"/>
                <w:bCs/>
                <w:i/>
                <w:noProof/>
              </w:rPr>
              <w:t>Dokumentacja niezbędna do przygotowania projektu</w:t>
            </w:r>
            <w:r w:rsidR="00037599">
              <w:rPr>
                <w:noProof/>
                <w:webHidden/>
              </w:rPr>
              <w:tab/>
            </w:r>
            <w:r w:rsidR="00037599">
              <w:rPr>
                <w:noProof/>
                <w:webHidden/>
              </w:rPr>
              <w:fldChar w:fldCharType="begin"/>
            </w:r>
            <w:r w:rsidR="00037599">
              <w:rPr>
                <w:noProof/>
                <w:webHidden/>
              </w:rPr>
              <w:instrText xml:space="preserve"> PAGEREF _Toc499016945 \h </w:instrText>
            </w:r>
            <w:r w:rsidR="00037599">
              <w:rPr>
                <w:noProof/>
                <w:webHidden/>
              </w:rPr>
            </w:r>
            <w:r w:rsidR="00037599">
              <w:rPr>
                <w:noProof/>
                <w:webHidden/>
              </w:rPr>
              <w:fldChar w:fldCharType="separate"/>
            </w:r>
            <w:r w:rsidR="00037599">
              <w:rPr>
                <w:noProof/>
                <w:webHidden/>
              </w:rPr>
              <w:t>35</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46" w:history="1">
            <w:r w:rsidR="00037599" w:rsidRPr="007B0839">
              <w:rPr>
                <w:rStyle w:val="Hipercze"/>
                <w:rFonts w:ascii="Arial" w:eastAsiaTheme="majorEastAsia" w:hAnsi="Arial" w:cs="Arial"/>
                <w:bCs/>
                <w:i/>
                <w:noProof/>
              </w:rPr>
              <w:t>4.3.2</w:t>
            </w:r>
            <w:r w:rsidR="00037599">
              <w:rPr>
                <w:noProof/>
              </w:rPr>
              <w:tab/>
            </w:r>
            <w:r w:rsidR="00037599" w:rsidRPr="007B0839">
              <w:rPr>
                <w:rStyle w:val="Hipercze"/>
                <w:rFonts w:ascii="Arial" w:eastAsiaTheme="majorEastAsia" w:hAnsi="Arial" w:cs="Arial"/>
                <w:bCs/>
                <w:i/>
                <w:noProof/>
              </w:rPr>
              <w:t>Pozostałe wydatki kwalifikowalne</w:t>
            </w:r>
            <w:r w:rsidR="00037599">
              <w:rPr>
                <w:noProof/>
                <w:webHidden/>
              </w:rPr>
              <w:tab/>
            </w:r>
            <w:r w:rsidR="00037599">
              <w:rPr>
                <w:noProof/>
                <w:webHidden/>
              </w:rPr>
              <w:fldChar w:fldCharType="begin"/>
            </w:r>
            <w:r w:rsidR="00037599">
              <w:rPr>
                <w:noProof/>
                <w:webHidden/>
              </w:rPr>
              <w:instrText xml:space="preserve"> PAGEREF _Toc499016946 \h </w:instrText>
            </w:r>
            <w:r w:rsidR="00037599">
              <w:rPr>
                <w:noProof/>
                <w:webHidden/>
              </w:rPr>
            </w:r>
            <w:r w:rsidR="00037599">
              <w:rPr>
                <w:noProof/>
                <w:webHidden/>
              </w:rPr>
              <w:fldChar w:fldCharType="separate"/>
            </w:r>
            <w:r w:rsidR="00037599">
              <w:rPr>
                <w:noProof/>
                <w:webHidden/>
              </w:rPr>
              <w:t>35</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47" w:history="1">
            <w:r w:rsidR="00037599" w:rsidRPr="007B0839">
              <w:rPr>
                <w:rStyle w:val="Hipercze"/>
                <w:rFonts w:ascii="Arial" w:hAnsi="Arial" w:cs="Arial"/>
                <w:i/>
                <w:noProof/>
              </w:rPr>
              <w:t>4.4</w:t>
            </w:r>
            <w:r w:rsidR="00037599">
              <w:rPr>
                <w:noProof/>
              </w:rPr>
              <w:tab/>
            </w:r>
            <w:r w:rsidR="00037599" w:rsidRPr="007B0839">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037599">
              <w:rPr>
                <w:noProof/>
                <w:webHidden/>
              </w:rPr>
              <w:tab/>
            </w:r>
            <w:r w:rsidR="00037599">
              <w:rPr>
                <w:noProof/>
                <w:webHidden/>
              </w:rPr>
              <w:fldChar w:fldCharType="begin"/>
            </w:r>
            <w:r w:rsidR="00037599">
              <w:rPr>
                <w:noProof/>
                <w:webHidden/>
              </w:rPr>
              <w:instrText xml:space="preserve"> PAGEREF _Toc499016947 \h </w:instrText>
            </w:r>
            <w:r w:rsidR="00037599">
              <w:rPr>
                <w:noProof/>
                <w:webHidden/>
              </w:rPr>
            </w:r>
            <w:r w:rsidR="00037599">
              <w:rPr>
                <w:noProof/>
                <w:webHidden/>
              </w:rPr>
              <w:fldChar w:fldCharType="separate"/>
            </w:r>
            <w:r w:rsidR="00037599">
              <w:rPr>
                <w:noProof/>
                <w:webHidden/>
              </w:rPr>
              <w:t>38</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48" w:history="1">
            <w:r w:rsidR="00037599" w:rsidRPr="007B0839">
              <w:rPr>
                <w:rStyle w:val="Hipercze"/>
                <w:rFonts w:ascii="Arial" w:eastAsiaTheme="majorEastAsia" w:hAnsi="Arial" w:cs="Arial"/>
                <w:b/>
                <w:bCs/>
                <w:i/>
                <w:noProof/>
              </w:rPr>
              <w:t>4.5</w:t>
            </w:r>
            <w:r w:rsidR="00037599">
              <w:rPr>
                <w:noProof/>
              </w:rPr>
              <w:tab/>
            </w:r>
            <w:r w:rsidR="00037599" w:rsidRPr="007B0839">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037599">
              <w:rPr>
                <w:noProof/>
                <w:webHidden/>
              </w:rPr>
              <w:tab/>
            </w:r>
            <w:r w:rsidR="00037599">
              <w:rPr>
                <w:noProof/>
                <w:webHidden/>
              </w:rPr>
              <w:fldChar w:fldCharType="begin"/>
            </w:r>
            <w:r w:rsidR="00037599">
              <w:rPr>
                <w:noProof/>
                <w:webHidden/>
              </w:rPr>
              <w:instrText xml:space="preserve"> PAGEREF _Toc499016948 \h </w:instrText>
            </w:r>
            <w:r w:rsidR="00037599">
              <w:rPr>
                <w:noProof/>
                <w:webHidden/>
              </w:rPr>
            </w:r>
            <w:r w:rsidR="00037599">
              <w:rPr>
                <w:noProof/>
                <w:webHidden/>
              </w:rPr>
              <w:fldChar w:fldCharType="separate"/>
            </w:r>
            <w:r w:rsidR="00037599">
              <w:rPr>
                <w:noProof/>
                <w:webHidden/>
              </w:rPr>
              <w:t>41</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49" w:history="1">
            <w:r w:rsidR="00037599" w:rsidRPr="007B0839">
              <w:rPr>
                <w:rStyle w:val="Hipercze"/>
                <w:rFonts w:ascii="Arial" w:hAnsi="Arial" w:cs="Arial"/>
                <w:i/>
                <w:noProof/>
              </w:rPr>
              <w:t>4.6</w:t>
            </w:r>
            <w:r w:rsidR="00037599">
              <w:rPr>
                <w:noProof/>
              </w:rPr>
              <w:tab/>
            </w:r>
            <w:r w:rsidR="00037599" w:rsidRPr="007B0839">
              <w:rPr>
                <w:rStyle w:val="Hipercze"/>
                <w:rFonts w:ascii="Arial" w:eastAsiaTheme="majorEastAsia" w:hAnsi="Arial" w:cs="Arial"/>
                <w:b/>
                <w:bCs/>
                <w:i/>
                <w:noProof/>
              </w:rPr>
              <w:t>Katalog wydatków kwalifikowalnych dla Działania 3.3 E–pionier – wsparcie uzdolnionych programistów na rzecz rozwiązywania zidentyfikowanych problemów społecznych lub gospodarczych.</w:t>
            </w:r>
            <w:r w:rsidR="00037599">
              <w:rPr>
                <w:noProof/>
                <w:webHidden/>
              </w:rPr>
              <w:tab/>
            </w:r>
            <w:r w:rsidR="00037599">
              <w:rPr>
                <w:noProof/>
                <w:webHidden/>
              </w:rPr>
              <w:fldChar w:fldCharType="begin"/>
            </w:r>
            <w:r w:rsidR="00037599">
              <w:rPr>
                <w:noProof/>
                <w:webHidden/>
              </w:rPr>
              <w:instrText xml:space="preserve"> PAGEREF _Toc499016949 \h </w:instrText>
            </w:r>
            <w:r w:rsidR="00037599">
              <w:rPr>
                <w:noProof/>
                <w:webHidden/>
              </w:rPr>
            </w:r>
            <w:r w:rsidR="00037599">
              <w:rPr>
                <w:noProof/>
                <w:webHidden/>
              </w:rPr>
              <w:fldChar w:fldCharType="separate"/>
            </w:r>
            <w:r w:rsidR="00037599">
              <w:rPr>
                <w:noProof/>
                <w:webHidden/>
              </w:rPr>
              <w:t>44</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50" w:history="1">
            <w:r w:rsidR="00037599" w:rsidRPr="007B0839">
              <w:rPr>
                <w:rStyle w:val="Hipercze"/>
                <w:rFonts w:ascii="Arial" w:eastAsiaTheme="majorEastAsia" w:hAnsi="Arial" w:cs="Arial"/>
                <w:bCs/>
                <w:i/>
                <w:noProof/>
              </w:rPr>
              <w:t>4.6.1</w:t>
            </w:r>
            <w:r w:rsidR="00037599">
              <w:rPr>
                <w:noProof/>
              </w:rPr>
              <w:tab/>
            </w:r>
            <w:r w:rsidR="00037599" w:rsidRPr="007B0839">
              <w:rPr>
                <w:rStyle w:val="Hipercze"/>
                <w:rFonts w:ascii="Arial" w:eastAsiaTheme="majorEastAsia" w:hAnsi="Arial" w:cs="Arial"/>
                <w:bCs/>
                <w:i/>
                <w:noProof/>
              </w:rPr>
              <w:t>Dokumentacja niezbędna do przygotowania projektu</w:t>
            </w:r>
            <w:r w:rsidR="00037599">
              <w:rPr>
                <w:noProof/>
                <w:webHidden/>
              </w:rPr>
              <w:tab/>
            </w:r>
            <w:r w:rsidR="00037599">
              <w:rPr>
                <w:noProof/>
                <w:webHidden/>
              </w:rPr>
              <w:fldChar w:fldCharType="begin"/>
            </w:r>
            <w:r w:rsidR="00037599">
              <w:rPr>
                <w:noProof/>
                <w:webHidden/>
              </w:rPr>
              <w:instrText xml:space="preserve"> PAGEREF _Toc499016950 \h </w:instrText>
            </w:r>
            <w:r w:rsidR="00037599">
              <w:rPr>
                <w:noProof/>
                <w:webHidden/>
              </w:rPr>
            </w:r>
            <w:r w:rsidR="00037599">
              <w:rPr>
                <w:noProof/>
                <w:webHidden/>
              </w:rPr>
              <w:fldChar w:fldCharType="separate"/>
            </w:r>
            <w:r w:rsidR="00037599">
              <w:rPr>
                <w:noProof/>
                <w:webHidden/>
              </w:rPr>
              <w:t>44</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51" w:history="1">
            <w:r w:rsidR="00037599" w:rsidRPr="007B0839">
              <w:rPr>
                <w:rStyle w:val="Hipercze"/>
                <w:rFonts w:ascii="Arial" w:eastAsiaTheme="majorEastAsia" w:hAnsi="Arial" w:cs="Arial"/>
                <w:bCs/>
                <w:i/>
                <w:noProof/>
              </w:rPr>
              <w:t>4.6.2</w:t>
            </w:r>
            <w:r w:rsidR="00037599">
              <w:rPr>
                <w:noProof/>
              </w:rPr>
              <w:tab/>
            </w:r>
            <w:r w:rsidR="00037599" w:rsidRPr="007B0839">
              <w:rPr>
                <w:rStyle w:val="Hipercze"/>
                <w:rFonts w:ascii="Arial" w:eastAsiaTheme="majorEastAsia" w:hAnsi="Arial" w:cs="Arial"/>
                <w:bCs/>
                <w:i/>
                <w:noProof/>
              </w:rPr>
              <w:t>Pozostałe wydatki kwalifikowalne</w:t>
            </w:r>
            <w:r w:rsidR="00037599">
              <w:rPr>
                <w:noProof/>
                <w:webHidden/>
              </w:rPr>
              <w:tab/>
            </w:r>
            <w:r w:rsidR="00037599">
              <w:rPr>
                <w:noProof/>
                <w:webHidden/>
              </w:rPr>
              <w:fldChar w:fldCharType="begin"/>
            </w:r>
            <w:r w:rsidR="00037599">
              <w:rPr>
                <w:noProof/>
                <w:webHidden/>
              </w:rPr>
              <w:instrText xml:space="preserve"> PAGEREF _Toc499016951 \h </w:instrText>
            </w:r>
            <w:r w:rsidR="00037599">
              <w:rPr>
                <w:noProof/>
                <w:webHidden/>
              </w:rPr>
            </w:r>
            <w:r w:rsidR="00037599">
              <w:rPr>
                <w:noProof/>
                <w:webHidden/>
              </w:rPr>
              <w:fldChar w:fldCharType="separate"/>
            </w:r>
            <w:r w:rsidR="00037599">
              <w:rPr>
                <w:noProof/>
                <w:webHidden/>
              </w:rPr>
              <w:t>44</w:t>
            </w:r>
            <w:r w:rsidR="00037599">
              <w:rPr>
                <w:noProof/>
                <w:webHidden/>
              </w:rPr>
              <w:fldChar w:fldCharType="end"/>
            </w:r>
          </w:hyperlink>
        </w:p>
        <w:p w:rsidR="00037599" w:rsidRDefault="00846915">
          <w:pPr>
            <w:pStyle w:val="Spistreci2"/>
            <w:tabs>
              <w:tab w:val="left" w:pos="880"/>
              <w:tab w:val="right" w:leader="dot" w:pos="9062"/>
            </w:tabs>
            <w:rPr>
              <w:noProof/>
            </w:rPr>
          </w:pPr>
          <w:hyperlink w:anchor="_Toc499016952" w:history="1">
            <w:r w:rsidR="00037599" w:rsidRPr="007B0839">
              <w:rPr>
                <w:rStyle w:val="Hipercze"/>
                <w:rFonts w:ascii="Arial" w:eastAsiaTheme="majorEastAsia" w:hAnsi="Arial" w:cs="Arial"/>
                <w:b/>
                <w:bCs/>
                <w:i/>
                <w:noProof/>
              </w:rPr>
              <w:t>4.7</w:t>
            </w:r>
            <w:r w:rsidR="00037599">
              <w:rPr>
                <w:noProof/>
              </w:rPr>
              <w:tab/>
            </w:r>
            <w:r w:rsidR="00037599" w:rsidRPr="007B0839">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037599">
              <w:rPr>
                <w:noProof/>
                <w:webHidden/>
              </w:rPr>
              <w:tab/>
            </w:r>
            <w:r w:rsidR="00037599">
              <w:rPr>
                <w:noProof/>
                <w:webHidden/>
              </w:rPr>
              <w:fldChar w:fldCharType="begin"/>
            </w:r>
            <w:r w:rsidR="00037599">
              <w:rPr>
                <w:noProof/>
                <w:webHidden/>
              </w:rPr>
              <w:instrText xml:space="preserve"> PAGEREF _Toc499016952 \h </w:instrText>
            </w:r>
            <w:r w:rsidR="00037599">
              <w:rPr>
                <w:noProof/>
                <w:webHidden/>
              </w:rPr>
            </w:r>
            <w:r w:rsidR="00037599">
              <w:rPr>
                <w:noProof/>
                <w:webHidden/>
              </w:rPr>
              <w:fldChar w:fldCharType="separate"/>
            </w:r>
            <w:r w:rsidR="00037599">
              <w:rPr>
                <w:noProof/>
                <w:webHidden/>
              </w:rPr>
              <w:t>47</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53" w:history="1">
            <w:r w:rsidR="00037599" w:rsidRPr="007B0839">
              <w:rPr>
                <w:rStyle w:val="Hipercze"/>
                <w:rFonts w:ascii="Arial" w:eastAsiaTheme="majorEastAsia" w:hAnsi="Arial" w:cs="Arial"/>
                <w:bCs/>
                <w:i/>
                <w:noProof/>
              </w:rPr>
              <w:t>4.7.1</w:t>
            </w:r>
            <w:r w:rsidR="00037599">
              <w:rPr>
                <w:noProof/>
              </w:rPr>
              <w:tab/>
            </w:r>
            <w:r w:rsidR="00037599" w:rsidRPr="007B0839">
              <w:rPr>
                <w:rStyle w:val="Hipercze"/>
                <w:rFonts w:ascii="Arial" w:eastAsiaTheme="majorEastAsia" w:hAnsi="Arial" w:cs="Arial"/>
                <w:bCs/>
                <w:i/>
                <w:noProof/>
              </w:rPr>
              <w:t>Dokumentacja niezbędna do przygotowania projektu</w:t>
            </w:r>
            <w:r w:rsidR="00037599">
              <w:rPr>
                <w:noProof/>
                <w:webHidden/>
              </w:rPr>
              <w:tab/>
            </w:r>
            <w:r w:rsidR="00037599">
              <w:rPr>
                <w:noProof/>
                <w:webHidden/>
              </w:rPr>
              <w:fldChar w:fldCharType="begin"/>
            </w:r>
            <w:r w:rsidR="00037599">
              <w:rPr>
                <w:noProof/>
                <w:webHidden/>
              </w:rPr>
              <w:instrText xml:space="preserve"> PAGEREF _Toc499016953 \h </w:instrText>
            </w:r>
            <w:r w:rsidR="00037599">
              <w:rPr>
                <w:noProof/>
                <w:webHidden/>
              </w:rPr>
            </w:r>
            <w:r w:rsidR="00037599">
              <w:rPr>
                <w:noProof/>
                <w:webHidden/>
              </w:rPr>
              <w:fldChar w:fldCharType="separate"/>
            </w:r>
            <w:r w:rsidR="00037599">
              <w:rPr>
                <w:noProof/>
                <w:webHidden/>
              </w:rPr>
              <w:t>47</w:t>
            </w:r>
            <w:r w:rsidR="00037599">
              <w:rPr>
                <w:noProof/>
                <w:webHidden/>
              </w:rPr>
              <w:fldChar w:fldCharType="end"/>
            </w:r>
          </w:hyperlink>
        </w:p>
        <w:p w:rsidR="00037599" w:rsidRDefault="00846915">
          <w:pPr>
            <w:pStyle w:val="Spistreci3"/>
            <w:tabs>
              <w:tab w:val="left" w:pos="1320"/>
              <w:tab w:val="right" w:leader="dot" w:pos="9062"/>
            </w:tabs>
            <w:rPr>
              <w:noProof/>
            </w:rPr>
          </w:pPr>
          <w:hyperlink w:anchor="_Toc499016954" w:history="1">
            <w:r w:rsidR="00037599" w:rsidRPr="007B0839">
              <w:rPr>
                <w:rStyle w:val="Hipercze"/>
                <w:rFonts w:ascii="Arial" w:eastAsiaTheme="majorEastAsia" w:hAnsi="Arial" w:cs="Arial"/>
                <w:bCs/>
                <w:i/>
                <w:noProof/>
              </w:rPr>
              <w:t>4.7.2</w:t>
            </w:r>
            <w:r w:rsidR="00037599">
              <w:rPr>
                <w:noProof/>
              </w:rPr>
              <w:tab/>
            </w:r>
            <w:r w:rsidR="00037599" w:rsidRPr="007B0839">
              <w:rPr>
                <w:rStyle w:val="Hipercze"/>
                <w:rFonts w:ascii="Arial" w:eastAsiaTheme="majorEastAsia" w:hAnsi="Arial" w:cs="Arial"/>
                <w:bCs/>
                <w:i/>
                <w:noProof/>
              </w:rPr>
              <w:t>Pozostałe wydatki kwalifikowalne</w:t>
            </w:r>
            <w:r w:rsidR="00037599">
              <w:rPr>
                <w:noProof/>
                <w:webHidden/>
              </w:rPr>
              <w:tab/>
            </w:r>
            <w:r w:rsidR="00037599">
              <w:rPr>
                <w:noProof/>
                <w:webHidden/>
              </w:rPr>
              <w:fldChar w:fldCharType="begin"/>
            </w:r>
            <w:r w:rsidR="00037599">
              <w:rPr>
                <w:noProof/>
                <w:webHidden/>
              </w:rPr>
              <w:instrText xml:space="preserve"> PAGEREF _Toc499016954 \h </w:instrText>
            </w:r>
            <w:r w:rsidR="00037599">
              <w:rPr>
                <w:noProof/>
                <w:webHidden/>
              </w:rPr>
            </w:r>
            <w:r w:rsidR="00037599">
              <w:rPr>
                <w:noProof/>
                <w:webHidden/>
              </w:rPr>
              <w:fldChar w:fldCharType="separate"/>
            </w:r>
            <w:r w:rsidR="00037599">
              <w:rPr>
                <w:noProof/>
                <w:webHidden/>
              </w:rPr>
              <w:t>47</w:t>
            </w:r>
            <w:r w:rsidR="00037599">
              <w:rPr>
                <w:noProof/>
                <w:webHidden/>
              </w:rPr>
              <w:fldChar w:fldCharType="end"/>
            </w:r>
          </w:hyperlink>
        </w:p>
        <w:p w:rsidR="00037599" w:rsidRDefault="00846915">
          <w:pPr>
            <w:pStyle w:val="Spistreci1"/>
            <w:rPr>
              <w:rFonts w:asciiTheme="minorHAnsi" w:hAnsiTheme="minorHAnsi" w:cstheme="minorBidi"/>
              <w:b w:val="0"/>
            </w:rPr>
          </w:pPr>
          <w:hyperlink w:anchor="_Toc499016955" w:history="1">
            <w:r w:rsidR="00037599" w:rsidRPr="007B0839">
              <w:rPr>
                <w:rStyle w:val="Hipercze"/>
                <w:rFonts w:eastAsia="Times New Roman" w:cs="Times New Roman"/>
                <w:bCs/>
              </w:rPr>
              <w:t>Załącznik nr 1 – Przykładowy wykaz możliwych nieprawidłowości w obszarze zamówień publicznych</w:t>
            </w:r>
            <w:r w:rsidR="00037599">
              <w:rPr>
                <w:webHidden/>
              </w:rPr>
              <w:tab/>
            </w:r>
            <w:r w:rsidR="00037599">
              <w:rPr>
                <w:webHidden/>
              </w:rPr>
              <w:fldChar w:fldCharType="begin"/>
            </w:r>
            <w:r w:rsidR="00037599">
              <w:rPr>
                <w:webHidden/>
              </w:rPr>
              <w:instrText xml:space="preserve"> PAGEREF _Toc499016955 \h </w:instrText>
            </w:r>
            <w:r w:rsidR="00037599">
              <w:rPr>
                <w:webHidden/>
              </w:rPr>
            </w:r>
            <w:r w:rsidR="00037599">
              <w:rPr>
                <w:webHidden/>
              </w:rPr>
              <w:fldChar w:fldCharType="separate"/>
            </w:r>
            <w:r w:rsidR="00037599">
              <w:rPr>
                <w:webHidden/>
              </w:rPr>
              <w:t>49</w:t>
            </w:r>
            <w:r w:rsidR="00037599">
              <w:rPr>
                <w:webHidden/>
              </w:rPr>
              <w:fldChar w:fldCharType="end"/>
            </w:r>
          </w:hyperlink>
        </w:p>
        <w:p w:rsidR="00037599" w:rsidRDefault="00846915">
          <w:pPr>
            <w:pStyle w:val="Spistreci1"/>
            <w:rPr>
              <w:rFonts w:asciiTheme="minorHAnsi" w:hAnsiTheme="minorHAnsi" w:cstheme="minorBidi"/>
              <w:b w:val="0"/>
            </w:rPr>
          </w:pPr>
          <w:hyperlink w:anchor="_Toc499016956" w:history="1">
            <w:r w:rsidR="00037599" w:rsidRPr="007B0839">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037599">
              <w:rPr>
                <w:webHidden/>
              </w:rPr>
              <w:tab/>
            </w:r>
            <w:r w:rsidR="00037599">
              <w:rPr>
                <w:webHidden/>
              </w:rPr>
              <w:fldChar w:fldCharType="begin"/>
            </w:r>
            <w:r w:rsidR="00037599">
              <w:rPr>
                <w:webHidden/>
              </w:rPr>
              <w:instrText xml:space="preserve"> PAGEREF _Toc499016956 \h </w:instrText>
            </w:r>
            <w:r w:rsidR="00037599">
              <w:rPr>
                <w:webHidden/>
              </w:rPr>
            </w:r>
            <w:r w:rsidR="00037599">
              <w:rPr>
                <w:webHidden/>
              </w:rPr>
              <w:fldChar w:fldCharType="separate"/>
            </w:r>
            <w:r w:rsidR="00037599">
              <w:rPr>
                <w:webHidden/>
              </w:rPr>
              <w:t>51</w:t>
            </w:r>
            <w:r w:rsidR="00037599">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499016915"/>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Dz. U. z 201</w:t>
      </w:r>
      <w:r w:rsidR="002C4F55">
        <w:rPr>
          <w:rFonts w:ascii="Arial" w:eastAsia="Times New Roman" w:hAnsi="Arial" w:cs="Arial"/>
          <w:lang w:eastAsia="pl-PL"/>
        </w:rPr>
        <w:t>7</w:t>
      </w:r>
      <w:r>
        <w:rPr>
          <w:rFonts w:ascii="Arial" w:eastAsia="Times New Roman" w:hAnsi="Arial" w:cs="Arial"/>
          <w:lang w:eastAsia="pl-PL"/>
        </w:rPr>
        <w:t xml:space="preserve"> r. poz. </w:t>
      </w:r>
      <w:r w:rsidR="002C4F55">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2C4F55">
        <w:rPr>
          <w:rFonts w:ascii="Arial" w:eastAsia="Times New Roman" w:hAnsi="Arial" w:cs="Arial"/>
          <w:lang w:eastAsia="pl-PL"/>
        </w:rPr>
        <w:t>S</w:t>
      </w:r>
      <w:r w:rsidR="002C4F55"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 xml:space="preserve">opis osi priorytetowych </w:t>
      </w:r>
      <w:r w:rsidR="002C4F55">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86514489"/>
      <w:bookmarkStart w:id="13" w:name="_Toc486514525"/>
      <w:bookmarkStart w:id="14" w:name="_Toc487717635"/>
      <w:bookmarkStart w:id="15" w:name="_Toc487797013"/>
      <w:bookmarkStart w:id="16" w:name="_Toc487809522"/>
      <w:bookmarkStart w:id="17" w:name="_Toc486514490"/>
      <w:bookmarkStart w:id="18" w:name="_Toc486514526"/>
      <w:bookmarkStart w:id="19" w:name="_Toc487717636"/>
      <w:bookmarkStart w:id="20" w:name="_Toc487797014"/>
      <w:bookmarkStart w:id="21" w:name="_Toc487809523"/>
      <w:bookmarkStart w:id="22" w:name="_Toc486514491"/>
      <w:bookmarkStart w:id="23" w:name="_Toc486514527"/>
      <w:bookmarkStart w:id="24" w:name="_Toc487717637"/>
      <w:bookmarkStart w:id="25" w:name="_Toc487797015"/>
      <w:bookmarkStart w:id="26" w:name="_Toc487809524"/>
      <w:bookmarkStart w:id="27" w:name="_Toc49901691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E469E">
        <w:rPr>
          <w:rFonts w:ascii="Arial" w:hAnsi="Arial" w:cs="Arial"/>
          <w:color w:val="auto"/>
          <w:sz w:val="24"/>
          <w:szCs w:val="24"/>
        </w:rPr>
        <w:lastRenderedPageBreak/>
        <w:t>Rozdział - Słowniczek pojęć</w:t>
      </w:r>
      <w:bookmarkEnd w:id="27"/>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903E7E">
        <w:rPr>
          <w:rFonts w:ascii="Arial" w:eastAsia="Calibri" w:hAnsi="Arial" w:cs="Arial"/>
        </w:rPr>
        <w:t xml:space="preserve">przez to </w:t>
      </w:r>
      <w:r w:rsidR="00AF2250">
        <w:rPr>
          <w:rFonts w:ascii="Arial" w:eastAsia="Calibri" w:hAnsi="Arial" w:cs="Arial"/>
        </w:rPr>
        <w:t xml:space="preserve">również rozumieć </w:t>
      </w:r>
      <w:r w:rsidR="002F0A14">
        <w:rPr>
          <w:rFonts w:ascii="Arial" w:eastAsia="Calibri" w:hAnsi="Arial" w:cs="Arial"/>
        </w:rPr>
        <w:t xml:space="preserve">wskazanych w umowie o dofinansowanie projektu </w:t>
      </w:r>
      <w:r w:rsidRPr="007E469E">
        <w:rPr>
          <w:rFonts w:ascii="Arial" w:eastAsia="Calibri" w:hAnsi="Arial" w:cs="Arial"/>
        </w:rPr>
        <w:t>partnera</w:t>
      </w:r>
      <w:r w:rsidR="002F0A14">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Pr="007E469E">
        <w:rPr>
          <w:rFonts w:ascii="Arial" w:eastAsia="Calibri" w:hAnsi="Arial" w:cs="Arial"/>
        </w:rPr>
        <w:t xml:space="preserve"> 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B17809">
        <w:t>7</w:t>
      </w:r>
      <w:r w:rsidRPr="005476DC">
        <w:t xml:space="preserve"> r. poz. </w:t>
      </w:r>
      <w:r w:rsidR="00B17809">
        <w:t>459</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A4E3A" w:rsidRPr="00324456" w:rsidRDefault="007A4E3A" w:rsidP="00C91765">
      <w:pPr>
        <w:pStyle w:val="Akapit"/>
        <w:keepNext w:val="0"/>
        <w:numPr>
          <w:ilvl w:val="0"/>
          <w:numId w:val="8"/>
        </w:numPr>
        <w:spacing w:before="240" w:after="240"/>
        <w:contextualSpacing/>
        <w:outlineLvl w:val="5"/>
        <w:rPr>
          <w:rFonts w:eastAsia="TTE278EC88t00" w:cs="Arial"/>
        </w:rPr>
      </w:pPr>
      <w:r>
        <w:rPr>
          <w:rFonts w:eastAsia="TTE278EC88t00" w:cs="Arial"/>
        </w:rPr>
        <w:t>osoba samozatrudniona – osobę fizyczną prowadzącą działalność gospodarczą, która jest beneficjentem projektu i jednocześnie stanowi personel tego projektu,</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 xml:space="preserve">Wytycznymi </w:t>
      </w:r>
      <w:r w:rsidR="008B5852" w:rsidRPr="008B5852">
        <w:t xml:space="preserve">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w:t>
      </w:r>
      <w:r w:rsidR="007A4E3A">
        <w:rPr>
          <w:rFonts w:eastAsia="TTE278EC88t00" w:cs="Arial"/>
        </w:rPr>
        <w:t xml:space="preserve"> na podstawie stosunku pracy, </w:t>
      </w:r>
      <w:r w:rsidRPr="00324456">
        <w:rPr>
          <w:rFonts w:eastAsia="TTE278EC88t00" w:cs="Arial"/>
        </w:rPr>
        <w:t xml:space="preserve">osoby samozatrudnione w rozumieniu </w:t>
      </w:r>
      <w:r w:rsidR="007A4E3A">
        <w:rPr>
          <w:rFonts w:eastAsia="TTE278EC88t00" w:cs="Arial"/>
        </w:rPr>
        <w:t xml:space="preserve">pkt 16, </w:t>
      </w:r>
      <w:r w:rsidRPr="00324456">
        <w:rPr>
          <w:rFonts w:eastAsia="TTE278EC88t00" w:cs="Arial"/>
        </w:rPr>
        <w:t xml:space="preserve">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8B5852" w:rsidRPr="00324456">
        <w:rPr>
          <w:rFonts w:eastAsia="TTE278EC88t00" w:cs="Arial"/>
        </w:rPr>
        <w:t xml:space="preserve">r. poz. </w:t>
      </w:r>
      <w:r w:rsidR="002C4F55">
        <w:rPr>
          <w:rFonts w:eastAsia="TTE278EC88t00" w:cs="Arial"/>
        </w:rPr>
        <w:t>1778</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w:t>
      </w:r>
      <w:r w:rsidR="007A4E3A">
        <w:rPr>
          <w:rFonts w:eastAsia="TTE278EC88t00" w:cs="Arial"/>
        </w:rPr>
        <w:t>e</w:t>
      </w:r>
      <w:r w:rsidRPr="00324456">
        <w:rPr>
          <w:rFonts w:eastAsia="TTE278EC88t00" w:cs="Arial"/>
        </w:rPr>
        <w:t xml:space="preserve"> wykonujący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324456">
        <w:rPr>
          <w:rFonts w:eastAsia="TTE278EC88t00" w:cs="Arial"/>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w:t>
      </w:r>
      <w:r w:rsidR="007A4E3A">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 xml:space="preserve">z </w:t>
      </w:r>
      <w:r w:rsidR="002C4F55" w:rsidRPr="00324456">
        <w:rPr>
          <w:rFonts w:eastAsia="TTE278EC88t00" w:cs="Arial"/>
        </w:rPr>
        <w:t>201</w:t>
      </w:r>
      <w:r w:rsidR="002C4F55">
        <w:rPr>
          <w:rFonts w:eastAsia="TTE278EC88t00" w:cs="Arial"/>
        </w:rPr>
        <w:t>7</w:t>
      </w:r>
      <w:r w:rsidR="002C4F55" w:rsidRPr="00324456">
        <w:rPr>
          <w:rFonts w:eastAsia="TTE278EC88t00" w:cs="Arial"/>
        </w:rPr>
        <w:t xml:space="preserve"> </w:t>
      </w:r>
      <w:r w:rsidR="0005508B" w:rsidRPr="00324456">
        <w:rPr>
          <w:rFonts w:eastAsia="TTE278EC88t00" w:cs="Arial"/>
        </w:rPr>
        <w:t>r.</w:t>
      </w:r>
      <w:r w:rsidR="00634F23" w:rsidRPr="00324456">
        <w:rPr>
          <w:rFonts w:eastAsia="TTE278EC88t00" w:cs="Arial"/>
        </w:rPr>
        <w:t xml:space="preserve"> </w:t>
      </w:r>
      <w:r w:rsidRPr="00324456">
        <w:rPr>
          <w:rFonts w:eastAsia="TTE278EC88t00" w:cs="Arial"/>
        </w:rPr>
        <w:t xml:space="preserve">poz. </w:t>
      </w:r>
      <w:r w:rsidR="002C4F55">
        <w:rPr>
          <w:rFonts w:eastAsia="TTE278EC88t00" w:cs="Arial"/>
        </w:rPr>
        <w:t>1221</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8C60FF">
        <w:rPr>
          <w:rFonts w:eastAsia="TTE278EC88t00" w:cs="Arial"/>
        </w:rPr>
        <w:t>1</w:t>
      </w:r>
      <w:r w:rsidRPr="00324456">
        <w:rPr>
          <w:rFonts w:eastAsia="TTE278EC88t00" w:cs="Arial"/>
        </w:rPr>
        <w:t xml:space="preserve"> r. poz. </w:t>
      </w:r>
      <w:r w:rsidR="008C60FF">
        <w:rPr>
          <w:rFonts w:eastAsia="TTE278EC88t00" w:cs="Arial"/>
        </w:rPr>
        <w:t xml:space="preserve">1054, z </w:t>
      </w:r>
      <w:proofErr w:type="spellStart"/>
      <w:r w:rsidR="008C60FF">
        <w:rPr>
          <w:rFonts w:eastAsia="TTE278EC88t00" w:cs="Arial"/>
        </w:rPr>
        <w:t>późn</w:t>
      </w:r>
      <w:proofErr w:type="spellEnd"/>
      <w:r w:rsidR="008C60FF">
        <w:rPr>
          <w:rFonts w:eastAsia="TTE278EC88t00" w:cs="Arial"/>
        </w:rPr>
        <w:t>. zm.</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któr</w:t>
      </w:r>
      <w:r w:rsidR="008C60FF">
        <w:rPr>
          <w:rFonts w:eastAsia="TTE278EC88t00" w:cs="Arial"/>
        </w:rPr>
        <w:t>e</w:t>
      </w:r>
      <w:r w:rsidR="002B6EAF" w:rsidRPr="00324456">
        <w:rPr>
          <w:rFonts w:eastAsia="TTE278EC88t00" w:cs="Arial"/>
        </w:rPr>
        <w:t xml:space="preserve"> </w:t>
      </w:r>
      <w:r w:rsidR="008C60FF">
        <w:rPr>
          <w:rFonts w:eastAsia="TTE278EC88t00" w:cs="Arial"/>
        </w:rPr>
        <w:t xml:space="preserve">spełniają kryteria </w:t>
      </w:r>
      <w:r w:rsidR="002B6EAF" w:rsidRPr="00324456">
        <w:rPr>
          <w:rFonts w:eastAsia="TTE278EC88t00" w:cs="Arial"/>
        </w:rPr>
        <w:t xml:space="preserve">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osobę fizyczną</w:t>
      </w:r>
      <w:r w:rsidR="00903E7E">
        <w:rPr>
          <w:rStyle w:val="Odwoanieprzypisudolnego"/>
          <w:rFonts w:eastAsia="TTE278EC88t00" w:cs="Arial"/>
        </w:rPr>
        <w:footnoteReference w:id="6"/>
      </w:r>
      <w:r w:rsidR="008E50AF" w:rsidRPr="00324456">
        <w:rPr>
          <w:rFonts w:eastAsia="TTE278EC88t00" w:cs="Arial"/>
        </w:rPr>
        <w:t xml:space="preserve">, osobę prawną albo jednostkę organizacyjną nieposiadającą osobowości prawnej, która oferuje </w:t>
      </w:r>
      <w:r w:rsidR="00903E7E">
        <w:rPr>
          <w:rFonts w:eastAsia="TTE278EC88t00" w:cs="Arial"/>
        </w:rPr>
        <w:t xml:space="preserve">realizację robót budowlanych, </w:t>
      </w:r>
      <w:r w:rsidR="008E50AF" w:rsidRPr="00324456">
        <w:rPr>
          <w:rFonts w:eastAsia="TTE278EC88t00" w:cs="Arial"/>
        </w:rPr>
        <w:t>określone produkty lub usługi na rynku lub zawarła umowę w sprawie realizacji zamówienia 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E92CC8">
        <w:rPr>
          <w:rFonts w:eastAsia="TTE278EC88t00" w:cs="Arial"/>
        </w:rPr>
        <w:t xml:space="preserve">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8" w:name="_Toc486514493"/>
      <w:bookmarkStart w:id="29" w:name="_Toc486514529"/>
      <w:bookmarkStart w:id="30" w:name="_Toc487717639"/>
      <w:bookmarkStart w:id="31" w:name="_Toc487797017"/>
      <w:bookmarkStart w:id="32" w:name="_Toc487809526"/>
      <w:bookmarkStart w:id="33" w:name="_Toc384969091"/>
      <w:bookmarkStart w:id="34" w:name="_Toc499016917"/>
      <w:bookmarkEnd w:id="28"/>
      <w:bookmarkEnd w:id="29"/>
      <w:bookmarkEnd w:id="30"/>
      <w:bookmarkEnd w:id="31"/>
      <w:bookmarkEnd w:id="32"/>
      <w:r w:rsidRPr="007E469E">
        <w:rPr>
          <w:rFonts w:ascii="Arial" w:hAnsi="Arial" w:cs="Arial"/>
          <w:color w:val="auto"/>
          <w:sz w:val="24"/>
          <w:szCs w:val="24"/>
        </w:rPr>
        <w:lastRenderedPageBreak/>
        <w:t xml:space="preserve">Rozdział - Cel, zakres oraz obowiązywanie </w:t>
      </w:r>
      <w:bookmarkEnd w:id="33"/>
      <w:r w:rsidR="0096087C">
        <w:rPr>
          <w:rFonts w:ascii="Arial" w:hAnsi="Arial" w:cs="Arial"/>
          <w:i/>
          <w:color w:val="auto"/>
          <w:sz w:val="24"/>
          <w:szCs w:val="24"/>
        </w:rPr>
        <w:t>Katalogu</w:t>
      </w:r>
      <w:bookmarkEnd w:id="34"/>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5" w:name="39"/>
      <w:bookmarkStart w:id="36" w:name="_Toc396130032"/>
      <w:bookmarkStart w:id="37" w:name="_Toc396130107"/>
      <w:bookmarkEnd w:id="35"/>
      <w:bookmarkEnd w:id="36"/>
      <w:bookmarkEnd w:id="37"/>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8" w:name="_Toc499016918"/>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8"/>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499016919"/>
      <w:r w:rsidRPr="007E469E">
        <w:rPr>
          <w:rFonts w:ascii="Arial" w:hAnsi="Arial" w:cs="Arial"/>
          <w:i/>
          <w:color w:val="auto"/>
          <w:sz w:val="24"/>
          <w:szCs w:val="24"/>
        </w:rPr>
        <w:t>Ocena kwalifikowalności wydatku.</w:t>
      </w:r>
      <w:bookmarkEnd w:id="39"/>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499016920"/>
      <w:r w:rsidRPr="007E469E">
        <w:rPr>
          <w:rFonts w:ascii="Arial" w:hAnsi="Arial" w:cs="Arial"/>
          <w:i/>
          <w:color w:val="auto"/>
          <w:sz w:val="24"/>
          <w:szCs w:val="24"/>
        </w:rPr>
        <w:t>Wydatki niekwalifikowalne</w:t>
      </w:r>
      <w:bookmarkEnd w:id="40"/>
    </w:p>
    <w:p w:rsidR="00903FFD" w:rsidRPr="007E469E" w:rsidRDefault="00903FFD" w:rsidP="00C91765">
      <w:pPr>
        <w:pStyle w:val="Akapitzlist"/>
        <w:numPr>
          <w:ilvl w:val="0"/>
          <w:numId w:val="12"/>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 xml:space="preserve">Wytycznymi </w:t>
      </w:r>
      <w:r w:rsidRPr="007E469E">
        <w:rPr>
          <w:rFonts w:ascii="Arial" w:hAnsi="Arial" w:cs="Arial"/>
        </w:rPr>
        <w:t xml:space="preserve">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C91765">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1" w:name="_Toc499016921"/>
      <w:r w:rsidRPr="00B81671">
        <w:rPr>
          <w:rFonts w:ascii="Arial" w:hAnsi="Arial" w:cs="Arial"/>
          <w:i/>
          <w:color w:val="auto"/>
          <w:sz w:val="24"/>
          <w:szCs w:val="24"/>
        </w:rPr>
        <w:t>Zasada faktycznego poniesienia wydatku</w:t>
      </w:r>
      <w:bookmarkEnd w:id="41"/>
    </w:p>
    <w:p w:rsidR="00903FFD" w:rsidRPr="00B81671" w:rsidRDefault="00903FFD"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C91765">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Wydatki kwalifikowalne muszą być oparte na prawnie wiążących umowach, porozumieniach lub innych dokumentach, zatem niezbędne jest posiadanie przez </w:t>
      </w:r>
      <w:r w:rsidRPr="00B81671">
        <w:rPr>
          <w:rFonts w:ascii="Arial" w:hAnsi="Arial" w:cs="Arial"/>
        </w:rPr>
        <w:lastRenderedPageBreak/>
        <w:t>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C91765">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2C4F55">
        <w:rPr>
          <w:rFonts w:ascii="Arial" w:hAnsi="Arial" w:cs="Arial"/>
        </w:rPr>
        <w:t>7</w:t>
      </w:r>
      <w:r w:rsidR="00B176BD" w:rsidRPr="00B81671">
        <w:rPr>
          <w:rFonts w:ascii="Arial" w:hAnsi="Arial" w:cs="Arial"/>
        </w:rPr>
        <w:t xml:space="preserve"> r. poz. </w:t>
      </w:r>
      <w:r w:rsidRPr="00B81671">
        <w:rPr>
          <w:rFonts w:ascii="Arial" w:hAnsi="Arial" w:cs="Arial"/>
        </w:rPr>
        <w:t>1</w:t>
      </w:r>
      <w:r w:rsidR="002D19CB">
        <w:rPr>
          <w:rFonts w:ascii="Arial" w:hAnsi="Arial" w:cs="Arial"/>
        </w:rPr>
        <w:t>8</w:t>
      </w:r>
      <w:r w:rsidR="002C4F55">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w:t>
      </w:r>
      <w:r w:rsidRPr="00B81671">
        <w:rPr>
          <w:rFonts w:ascii="Arial" w:hAnsi="Arial" w:cs="Arial"/>
        </w:rPr>
        <w:lastRenderedPageBreak/>
        <w:t xml:space="preserve">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C91765">
      <w:pPr>
        <w:pStyle w:val="Akapitzlist"/>
        <w:numPr>
          <w:ilvl w:val="1"/>
          <w:numId w:val="44"/>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C91765">
      <w:pPr>
        <w:pStyle w:val="Akapitzlist"/>
        <w:numPr>
          <w:ilvl w:val="1"/>
          <w:numId w:val="44"/>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C91765">
      <w:pPr>
        <w:numPr>
          <w:ilvl w:val="0"/>
          <w:numId w:val="46"/>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C91765">
      <w:pPr>
        <w:numPr>
          <w:ilvl w:val="0"/>
          <w:numId w:val="4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regulaminem pracy i/lub regulaminem wynagradzania w instytucji</w:t>
      </w:r>
      <w:r w:rsidR="00700782" w:rsidRPr="00B81671">
        <w:rPr>
          <w:rFonts w:ascii="Arial" w:eastAsia="Times New Roman" w:hAnsi="Arial" w:cs="Arial"/>
          <w:lang w:eastAsia="pl-PL"/>
        </w:rPr>
        <w:t>,</w:t>
      </w:r>
    </w:p>
    <w:p w:rsidR="00132869" w:rsidRPr="00B81671" w:rsidRDefault="00132869"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C91765">
      <w:pPr>
        <w:numPr>
          <w:ilvl w:val="0"/>
          <w:numId w:val="3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C91765">
      <w:pPr>
        <w:pStyle w:val="Akapitzlist"/>
        <w:numPr>
          <w:ilvl w:val="0"/>
          <w:numId w:val="34"/>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C91765">
      <w:pPr>
        <w:pStyle w:val="Akapitzlist"/>
        <w:numPr>
          <w:ilvl w:val="0"/>
          <w:numId w:val="3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C91765">
      <w:pPr>
        <w:numPr>
          <w:ilvl w:val="0"/>
          <w:numId w:val="3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w:t>
      </w:r>
      <w:r w:rsidR="004107D5" w:rsidRPr="00B81671">
        <w:rPr>
          <w:rFonts w:ascii="Arial" w:eastAsia="Times New Roman" w:hAnsi="Arial" w:cs="Arial"/>
          <w:lang w:eastAsia="pl-PL"/>
        </w:rPr>
        <w:lastRenderedPageBreak/>
        <w:t>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2C4F55" w:rsidRPr="00B81671">
        <w:rPr>
          <w:rFonts w:ascii="Arial" w:eastAsia="Times New Roman" w:hAnsi="Arial" w:cs="Arial"/>
          <w:lang w:eastAsia="pl-PL"/>
        </w:rPr>
        <w:t>201</w:t>
      </w:r>
      <w:r w:rsidR="002C4F55">
        <w:rPr>
          <w:rFonts w:ascii="Arial" w:eastAsia="Times New Roman" w:hAnsi="Arial" w:cs="Arial"/>
          <w:lang w:eastAsia="pl-PL"/>
        </w:rPr>
        <w:t>6</w:t>
      </w:r>
      <w:r w:rsidR="002C4F55"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565443">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91765">
      <w:pPr>
        <w:pStyle w:val="Akapitzlist"/>
        <w:numPr>
          <w:ilvl w:val="1"/>
          <w:numId w:val="3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91765">
      <w:pPr>
        <w:pStyle w:val="Akapitzlist"/>
        <w:numPr>
          <w:ilvl w:val="1"/>
          <w:numId w:val="3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2" w:name="_Toc488410516"/>
      <w:bookmarkStart w:id="43" w:name="_Toc488922262"/>
      <w:bookmarkStart w:id="44" w:name="_Toc488410517"/>
      <w:bookmarkStart w:id="45" w:name="_Toc488922263"/>
      <w:bookmarkStart w:id="46" w:name="_Toc488410518"/>
      <w:bookmarkStart w:id="47" w:name="_Toc488922264"/>
      <w:bookmarkStart w:id="48" w:name="_Toc488410519"/>
      <w:bookmarkStart w:id="49" w:name="_Toc488922265"/>
      <w:bookmarkStart w:id="50" w:name="_Toc488410520"/>
      <w:bookmarkStart w:id="51" w:name="_Toc488922266"/>
      <w:bookmarkStart w:id="52" w:name="_Toc488410521"/>
      <w:bookmarkStart w:id="53" w:name="_Toc488922267"/>
      <w:bookmarkStart w:id="54" w:name="_Toc488410522"/>
      <w:bookmarkStart w:id="55" w:name="_Toc488922268"/>
      <w:bookmarkStart w:id="56" w:name="_Toc488410523"/>
      <w:bookmarkStart w:id="57" w:name="_Toc488922269"/>
      <w:bookmarkStart w:id="58" w:name="_Toc488410524"/>
      <w:bookmarkStart w:id="59" w:name="_Toc488922270"/>
      <w:bookmarkStart w:id="60" w:name="_Toc488410525"/>
      <w:bookmarkStart w:id="61" w:name="_Toc488922271"/>
      <w:bookmarkStart w:id="62" w:name="_Toc488410526"/>
      <w:bookmarkStart w:id="63" w:name="_Toc488922272"/>
      <w:bookmarkStart w:id="64" w:name="_Toc488410527"/>
      <w:bookmarkStart w:id="65" w:name="_Toc488922273"/>
      <w:bookmarkStart w:id="66" w:name="_Toc488410528"/>
      <w:bookmarkStart w:id="67" w:name="_Toc488922274"/>
      <w:bookmarkStart w:id="68" w:name="_Toc488410529"/>
      <w:bookmarkStart w:id="69" w:name="_Toc488922275"/>
      <w:bookmarkStart w:id="70" w:name="_Toc488410530"/>
      <w:bookmarkStart w:id="71" w:name="_Toc488922276"/>
      <w:bookmarkStart w:id="72" w:name="_Toc488410531"/>
      <w:bookmarkStart w:id="73" w:name="_Toc488922277"/>
      <w:bookmarkStart w:id="74" w:name="_Toc488410532"/>
      <w:bookmarkStart w:id="75" w:name="_Toc488922278"/>
      <w:bookmarkStart w:id="76" w:name="_Toc488410533"/>
      <w:bookmarkStart w:id="77" w:name="_Toc488922279"/>
      <w:bookmarkStart w:id="78" w:name="_Toc488410534"/>
      <w:bookmarkStart w:id="79" w:name="_Toc488922280"/>
      <w:bookmarkStart w:id="80" w:name="_Toc488410535"/>
      <w:bookmarkStart w:id="81" w:name="_Toc488922281"/>
      <w:bookmarkStart w:id="82" w:name="_Toc488410536"/>
      <w:bookmarkStart w:id="83" w:name="_Toc488922282"/>
      <w:bookmarkStart w:id="84" w:name="_Toc488410537"/>
      <w:bookmarkStart w:id="85" w:name="_Toc488922283"/>
      <w:bookmarkStart w:id="86" w:name="_Toc488410538"/>
      <w:bookmarkStart w:id="87" w:name="_Toc488922284"/>
      <w:bookmarkStart w:id="88" w:name="_Toc488410539"/>
      <w:bookmarkStart w:id="89" w:name="_Toc488922285"/>
      <w:bookmarkStart w:id="90" w:name="_Toc488410540"/>
      <w:bookmarkStart w:id="91" w:name="_Toc488922286"/>
      <w:bookmarkStart w:id="92" w:name="_Toc488410541"/>
      <w:bookmarkStart w:id="93" w:name="_Toc488922287"/>
      <w:bookmarkStart w:id="94" w:name="_Toc488410542"/>
      <w:bookmarkStart w:id="95" w:name="_Toc488922288"/>
      <w:bookmarkStart w:id="96" w:name="_Toc488410543"/>
      <w:bookmarkStart w:id="97" w:name="_Toc488922289"/>
      <w:bookmarkStart w:id="98" w:name="_Toc488410544"/>
      <w:bookmarkStart w:id="99" w:name="_Toc488922290"/>
      <w:bookmarkStart w:id="100" w:name="_Toc488410545"/>
      <w:bookmarkStart w:id="101" w:name="_Toc488922291"/>
      <w:bookmarkStart w:id="102" w:name="_Toc488410546"/>
      <w:bookmarkStart w:id="103" w:name="_Toc488922292"/>
      <w:bookmarkStart w:id="104" w:name="_Toc488410547"/>
      <w:bookmarkStart w:id="105" w:name="_Toc488922293"/>
      <w:bookmarkStart w:id="106" w:name="_Toc488410548"/>
      <w:bookmarkStart w:id="107" w:name="_Toc488922294"/>
      <w:bookmarkStart w:id="108" w:name="_Toc488410549"/>
      <w:bookmarkStart w:id="109" w:name="_Toc488922295"/>
      <w:bookmarkStart w:id="110" w:name="_Toc488410550"/>
      <w:bookmarkStart w:id="111" w:name="_Toc488922296"/>
      <w:bookmarkStart w:id="112" w:name="_Toc488410551"/>
      <w:bookmarkStart w:id="113" w:name="_Toc488922297"/>
      <w:bookmarkStart w:id="114" w:name="_Toc488410552"/>
      <w:bookmarkStart w:id="115" w:name="_Toc488922298"/>
      <w:bookmarkStart w:id="116" w:name="_Toc488410553"/>
      <w:bookmarkStart w:id="117" w:name="_Toc488922299"/>
      <w:bookmarkStart w:id="118" w:name="_Toc488410554"/>
      <w:bookmarkStart w:id="119" w:name="_Toc488922300"/>
      <w:bookmarkStart w:id="120" w:name="_Toc488410555"/>
      <w:bookmarkStart w:id="121" w:name="_Toc488922301"/>
      <w:bookmarkStart w:id="122" w:name="_Toc487717646"/>
      <w:bookmarkStart w:id="123" w:name="_Toc487797024"/>
      <w:bookmarkStart w:id="124" w:name="_Toc487809533"/>
      <w:bookmarkStart w:id="125" w:name="_Toc407115848"/>
      <w:bookmarkStart w:id="126" w:name="_Toc407116378"/>
      <w:bookmarkStart w:id="127" w:name="_Toc499016922"/>
      <w:bookmarkStart w:id="128" w:name="_Toc399917175"/>
      <w:bookmarkStart w:id="129" w:name="_Toc40650958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920D9">
        <w:rPr>
          <w:rFonts w:ascii="Arial" w:hAnsi="Arial" w:cs="Arial"/>
          <w:i/>
          <w:color w:val="000000" w:themeColor="text1"/>
          <w:sz w:val="24"/>
          <w:szCs w:val="24"/>
        </w:rPr>
        <w:lastRenderedPageBreak/>
        <w:t>Uproszczone metody rozliczania wydatków</w:t>
      </w:r>
      <w:bookmarkEnd w:id="127"/>
    </w:p>
    <w:p w:rsidR="00377263" w:rsidRPr="00B81671" w:rsidRDefault="009242E7" w:rsidP="00C91765">
      <w:pPr>
        <w:pStyle w:val="Akapit"/>
        <w:numPr>
          <w:ilvl w:val="0"/>
          <w:numId w:val="24"/>
        </w:numPr>
        <w:spacing w:before="120" w:after="120"/>
        <w:outlineLvl w:val="5"/>
        <w:rPr>
          <w:bCs w:val="0"/>
          <w:color w:val="000000" w:themeColor="text1"/>
          <w:szCs w:val="22"/>
        </w:rPr>
      </w:pPr>
      <w:r>
        <w:rPr>
          <w:bCs w:val="0"/>
          <w:color w:val="000000" w:themeColor="text1"/>
          <w:szCs w:val="22"/>
        </w:rPr>
        <w:t>W ramach III osi priorytetowej dopuszcza się stosowanie uproszczonych metod rozliczania wydatków w odniesieniu do kosztów pośre</w:t>
      </w:r>
      <w:r w:rsidR="00855A61">
        <w:rPr>
          <w:bCs w:val="0"/>
          <w:color w:val="000000" w:themeColor="text1"/>
          <w:szCs w:val="22"/>
        </w:rPr>
        <w:t>dnich na zasadach określonych w </w:t>
      </w:r>
      <w:r>
        <w:rPr>
          <w:bCs w:val="0"/>
          <w:color w:val="000000" w:themeColor="text1"/>
          <w:szCs w:val="22"/>
        </w:rPr>
        <w:t xml:space="preserve">rozdziale 6.6 </w:t>
      </w:r>
      <w:r w:rsidRPr="001109E1">
        <w:rPr>
          <w:bCs w:val="0"/>
          <w:i/>
          <w:color w:val="000000" w:themeColor="text1"/>
          <w:szCs w:val="22"/>
        </w:rPr>
        <w:t xml:space="preserve">Wytycznych </w:t>
      </w:r>
      <w:r>
        <w:rPr>
          <w:bCs w:val="0"/>
          <w:color w:val="000000" w:themeColor="text1"/>
          <w:szCs w:val="22"/>
        </w:rPr>
        <w:t xml:space="preserve">oraz niniejszego </w:t>
      </w:r>
      <w:r w:rsidRPr="001109E1">
        <w:rPr>
          <w:bCs w:val="0"/>
          <w:i/>
          <w:color w:val="000000" w:themeColor="text1"/>
          <w:szCs w:val="22"/>
        </w:rPr>
        <w:t>Katalogu</w:t>
      </w:r>
      <w:r>
        <w:rPr>
          <w:bCs w:val="0"/>
          <w:color w:val="000000" w:themeColor="text1"/>
          <w:szCs w:val="22"/>
        </w:rPr>
        <w:t xml:space="preserve">. </w:t>
      </w:r>
      <w:r w:rsidR="002D1084" w:rsidRPr="00B81671">
        <w:rPr>
          <w:bCs w:val="0"/>
          <w:color w:val="000000" w:themeColor="text1"/>
          <w:szCs w:val="22"/>
        </w:rPr>
        <w:t xml:space="preserve"> </w:t>
      </w:r>
    </w:p>
    <w:p w:rsidR="00037599" w:rsidRDefault="009242E7" w:rsidP="008C60FF">
      <w:pPr>
        <w:pStyle w:val="Akapit"/>
        <w:numPr>
          <w:ilvl w:val="0"/>
          <w:numId w:val="24"/>
        </w:numPr>
        <w:spacing w:before="120" w:after="120"/>
        <w:outlineLvl w:val="5"/>
        <w:rPr>
          <w:bCs w:val="0"/>
          <w:color w:val="000000" w:themeColor="text1"/>
          <w:szCs w:val="22"/>
        </w:rPr>
      </w:pPr>
      <w:r w:rsidRPr="008C60FF">
        <w:rPr>
          <w:bCs w:val="0"/>
          <w:color w:val="000000" w:themeColor="text1"/>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Pr>
          <w:bCs w:val="0"/>
          <w:color w:val="000000" w:themeColor="text1"/>
          <w:szCs w:val="22"/>
        </w:rPr>
        <w:t xml:space="preserve">związanych z zaangażowaniem </w:t>
      </w:r>
      <w:r w:rsidRPr="008C60FF">
        <w:rPr>
          <w:bCs w:val="0"/>
          <w:color w:val="000000" w:themeColor="text1"/>
          <w:szCs w:val="22"/>
        </w:rPr>
        <w:t>personelu</w:t>
      </w:r>
      <w:r w:rsidR="006F54A2">
        <w:rPr>
          <w:bCs w:val="0"/>
          <w:color w:val="000000" w:themeColor="text1"/>
          <w:szCs w:val="22"/>
        </w:rPr>
        <w:t xml:space="preserve">, chyba że </w:t>
      </w:r>
      <w:r w:rsidR="00670842">
        <w:rPr>
          <w:bCs w:val="0"/>
          <w:color w:val="000000" w:themeColor="text1"/>
          <w:szCs w:val="22"/>
        </w:rPr>
        <w:t xml:space="preserve">w ramach danego </w:t>
      </w:r>
      <w:r w:rsidR="006F54A2">
        <w:rPr>
          <w:bCs w:val="0"/>
          <w:color w:val="000000" w:themeColor="text1"/>
          <w:szCs w:val="22"/>
        </w:rPr>
        <w:t xml:space="preserve">naboru </w:t>
      </w:r>
      <w:r w:rsidR="00827243">
        <w:rPr>
          <w:bCs w:val="0"/>
          <w:color w:val="000000" w:themeColor="text1"/>
          <w:szCs w:val="22"/>
        </w:rPr>
        <w:t>przewidziany został</w:t>
      </w:r>
      <w:r w:rsidR="006F54A2">
        <w:rPr>
          <w:bCs w:val="0"/>
          <w:color w:val="000000" w:themeColor="text1"/>
          <w:szCs w:val="22"/>
        </w:rPr>
        <w:t xml:space="preserve"> obligatoryjny tryb zastosowania stawki ryczałtowej. </w:t>
      </w:r>
    </w:p>
    <w:p w:rsidR="00827243" w:rsidRPr="006F233A" w:rsidRDefault="008C6FB2" w:rsidP="006F233A">
      <w:pPr>
        <w:pStyle w:val="Akapit"/>
        <w:numPr>
          <w:ilvl w:val="0"/>
          <w:numId w:val="24"/>
        </w:numPr>
        <w:spacing w:before="120" w:after="120"/>
        <w:outlineLvl w:val="5"/>
        <w:rPr>
          <w:bCs w:val="0"/>
          <w:color w:val="000000" w:themeColor="text1"/>
          <w:szCs w:val="22"/>
        </w:rPr>
      </w:pPr>
      <w:r>
        <w:rPr>
          <w:bCs w:val="0"/>
          <w:color w:val="000000" w:themeColor="text1"/>
          <w:szCs w:val="22"/>
        </w:rPr>
        <w:t xml:space="preserve">Dla potrzeb wyliczenia wartości kosztów związanych z zaangażowaniem personelu uznaje się, że koszty te to koszty personelu zgodnie z definicją </w:t>
      </w:r>
      <w:r w:rsidR="00414C23">
        <w:rPr>
          <w:bCs w:val="0"/>
          <w:color w:val="000000" w:themeColor="text1"/>
          <w:szCs w:val="22"/>
        </w:rPr>
        <w:t>niniejszego</w:t>
      </w:r>
      <w:r>
        <w:rPr>
          <w:bCs w:val="0"/>
          <w:color w:val="000000" w:themeColor="text1"/>
          <w:szCs w:val="22"/>
        </w:rPr>
        <w:t xml:space="preserve"> </w:t>
      </w:r>
      <w:r w:rsidRPr="006740DD">
        <w:rPr>
          <w:bCs w:val="0"/>
          <w:i/>
          <w:color w:val="000000" w:themeColor="text1"/>
          <w:szCs w:val="22"/>
        </w:rPr>
        <w:t>Katalogu</w:t>
      </w:r>
      <w:r>
        <w:rPr>
          <w:bCs w:val="0"/>
          <w:color w:val="000000" w:themeColor="text1"/>
          <w:szCs w:val="22"/>
        </w:rPr>
        <w:t xml:space="preserve"> oraz koszty personelu zewnętrznego zgodnie z definicją zawartą w </w:t>
      </w:r>
      <w:r w:rsidR="006F233A">
        <w:rPr>
          <w:bCs w:val="0"/>
          <w:color w:val="000000" w:themeColor="text1"/>
          <w:szCs w:val="22"/>
        </w:rPr>
        <w:t xml:space="preserve">Wytycznych Komisji Europejskiej przytoczoną </w:t>
      </w:r>
      <w:r w:rsidR="00037599">
        <w:rPr>
          <w:bCs w:val="0"/>
          <w:color w:val="000000" w:themeColor="text1"/>
          <w:szCs w:val="22"/>
        </w:rPr>
        <w:t>niniejszym</w:t>
      </w:r>
      <w:r>
        <w:rPr>
          <w:bCs w:val="0"/>
          <w:color w:val="000000" w:themeColor="text1"/>
          <w:szCs w:val="22"/>
        </w:rPr>
        <w:t xml:space="preserve"> podrozdziale. </w:t>
      </w:r>
      <w:r w:rsidR="006F54A2">
        <w:rPr>
          <w:bCs w:val="0"/>
          <w:color w:val="000000" w:themeColor="text1"/>
          <w:szCs w:val="22"/>
        </w:rPr>
        <w:t>Wy</w:t>
      </w:r>
      <w:r w:rsidR="009242E7" w:rsidRPr="008C60FF">
        <w:rPr>
          <w:bCs w:val="0"/>
          <w:color w:val="000000" w:themeColor="text1"/>
          <w:szCs w:val="22"/>
        </w:rPr>
        <w:t>sokość stawki ryczałtowej określan</w:t>
      </w:r>
      <w:r w:rsidR="006F54A2">
        <w:rPr>
          <w:bCs w:val="0"/>
          <w:color w:val="000000" w:themeColor="text1"/>
          <w:szCs w:val="22"/>
        </w:rPr>
        <w:t>a</w:t>
      </w:r>
      <w:r w:rsidR="009242E7" w:rsidRPr="008C60FF">
        <w:rPr>
          <w:bCs w:val="0"/>
          <w:color w:val="000000" w:themeColor="text1"/>
          <w:szCs w:val="22"/>
        </w:rPr>
        <w:t xml:space="preserve"> jest indywidualnie dla każdego nabor</w:t>
      </w:r>
      <w:r w:rsidR="00855A61" w:rsidRPr="006F54A2">
        <w:rPr>
          <w:bCs w:val="0"/>
          <w:color w:val="000000" w:themeColor="text1"/>
          <w:szCs w:val="22"/>
        </w:rPr>
        <w:t xml:space="preserve">u. </w:t>
      </w:r>
      <w:r w:rsidR="006740DD">
        <w:rPr>
          <w:bCs w:val="0"/>
          <w:color w:val="000000" w:themeColor="text1"/>
          <w:szCs w:val="22"/>
        </w:rPr>
        <w:t xml:space="preserve">Szczegółowe </w:t>
      </w:r>
      <w:r w:rsidR="002C01A5">
        <w:rPr>
          <w:bCs w:val="0"/>
          <w:color w:val="000000" w:themeColor="text1"/>
          <w:szCs w:val="22"/>
        </w:rPr>
        <w:t xml:space="preserve">informacje </w:t>
      </w:r>
      <w:r w:rsidR="00855A61" w:rsidRPr="006F54A2">
        <w:rPr>
          <w:bCs w:val="0"/>
          <w:color w:val="000000" w:themeColor="text1"/>
          <w:szCs w:val="22"/>
        </w:rPr>
        <w:t>znajdują się w </w:t>
      </w:r>
      <w:r w:rsidR="009242E7" w:rsidRPr="006F54A2">
        <w:rPr>
          <w:bCs w:val="0"/>
          <w:color w:val="000000" w:themeColor="text1"/>
          <w:szCs w:val="22"/>
        </w:rPr>
        <w:t xml:space="preserve">rozdziale 4 niniejszego </w:t>
      </w:r>
      <w:r w:rsidR="009242E7" w:rsidRPr="001109E1">
        <w:rPr>
          <w:bCs w:val="0"/>
          <w:i/>
          <w:color w:val="000000" w:themeColor="text1"/>
          <w:szCs w:val="22"/>
        </w:rPr>
        <w:t>Katalogu</w:t>
      </w:r>
      <w:r w:rsidR="002A5FC2" w:rsidRPr="008C60FF">
        <w:rPr>
          <w:bCs w:val="0"/>
          <w:color w:val="000000" w:themeColor="text1"/>
          <w:szCs w:val="22"/>
        </w:rPr>
        <w:t>.</w:t>
      </w:r>
    </w:p>
    <w:p w:rsidR="002A5FC2" w:rsidRPr="00565443" w:rsidRDefault="00037599" w:rsidP="00565443">
      <w:pPr>
        <w:spacing w:before="120" w:after="120" w:line="360" w:lineRule="auto"/>
        <w:ind w:left="357" w:hanging="357"/>
        <w:jc w:val="both"/>
        <w:rPr>
          <w:rFonts w:ascii="Arial" w:hAnsi="Arial" w:cs="Arial"/>
        </w:rPr>
      </w:pPr>
      <w:r>
        <w:rPr>
          <w:rFonts w:ascii="Arial" w:hAnsi="Arial" w:cs="Arial"/>
        </w:rPr>
        <w:t>4</w:t>
      </w:r>
      <w:r w:rsidR="00565443">
        <w:rPr>
          <w:rFonts w:ascii="Arial" w:hAnsi="Arial" w:cs="Arial"/>
        </w:rPr>
        <w:t xml:space="preserve">)  </w:t>
      </w:r>
      <w:r w:rsidR="005673DB" w:rsidRPr="00565443">
        <w:rPr>
          <w:rFonts w:ascii="Arial" w:hAnsi="Arial" w:cs="Arial"/>
        </w:rPr>
        <w:t>W ramach projektów realizowanych w III osi priorytetowej POPC z</w:t>
      </w:r>
      <w:r w:rsidR="002A5FC2" w:rsidRPr="00565443">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565443">
        <w:rPr>
          <w:rFonts w:ascii="Arial" w:hAnsi="Arial" w:cs="Arial"/>
        </w:rPr>
        <w:t xml:space="preserve"> </w:t>
      </w:r>
      <w:r w:rsidR="002A5FC2" w:rsidRPr="00565443">
        <w:rPr>
          <w:rFonts w:ascii="Arial" w:hAnsi="Arial" w:cs="Arial"/>
        </w:rPr>
        <w:t>2-4 rozporządzenia (UE) nr 1304/2013 oraz art. 19 rozporządzenia (UE) nr 1299/2013) kosztami personelu są:</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koszty wynikające z umowy zawartej między pracodawcą a pracownikiem lub</w:t>
      </w:r>
    </w:p>
    <w:p w:rsidR="002A5FC2" w:rsidRPr="00565443" w:rsidRDefault="002A5FC2" w:rsidP="00565443">
      <w:pPr>
        <w:spacing w:before="120" w:after="120" w:line="360" w:lineRule="auto"/>
        <w:ind w:left="714" w:hanging="357"/>
        <w:jc w:val="both"/>
        <w:rPr>
          <w:rFonts w:ascii="Arial" w:hAnsi="Arial" w:cs="Arial"/>
        </w:rPr>
      </w:pPr>
      <w:r w:rsidRPr="00565443">
        <w:rPr>
          <w:rFonts w:ascii="Arial" w:hAnsi="Arial" w:cs="Arial"/>
        </w:rPr>
        <w:t>- um</w:t>
      </w:r>
      <w:r w:rsidR="005673DB" w:rsidRPr="00565443">
        <w:rPr>
          <w:rFonts w:ascii="Arial" w:hAnsi="Arial" w:cs="Arial"/>
        </w:rPr>
        <w:t xml:space="preserve">ów o świadczenie usług w przypadku personelu zewnętrznego (pod warunkiem, </w:t>
      </w:r>
      <w:r w:rsidR="00414C23" w:rsidRPr="00565443">
        <w:rPr>
          <w:rFonts w:ascii="Arial" w:hAnsi="Arial" w:cs="Arial"/>
        </w:rPr>
        <w:t>ż</w:t>
      </w:r>
      <w:r w:rsidR="005673DB" w:rsidRPr="00565443">
        <w:rPr>
          <w:rFonts w:ascii="Arial" w:hAnsi="Arial" w:cs="Arial"/>
        </w:rPr>
        <w:t xml:space="preserve">e koszty te są łatwe do zidentyfikowania). </w:t>
      </w:r>
      <w:r w:rsidRPr="00565443">
        <w:rPr>
          <w:rFonts w:ascii="Arial" w:hAnsi="Arial" w:cs="Arial"/>
        </w:rPr>
        <w:t xml:space="preserve">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5</w:t>
      </w:r>
      <w:r w:rsidR="00565443">
        <w:rPr>
          <w:rFonts w:ascii="Arial" w:hAnsi="Arial" w:cs="Arial"/>
        </w:rPr>
        <w:t xml:space="preserve">)  </w:t>
      </w:r>
      <w:r w:rsidR="005673DB" w:rsidRPr="00037599">
        <w:rPr>
          <w:rFonts w:ascii="Arial" w:hAnsi="Arial" w:cs="Arial"/>
        </w:rPr>
        <w:t>Koszty personelu zewnętrznego obejmują</w:t>
      </w:r>
      <w:r w:rsidR="006C3663" w:rsidRPr="00037599">
        <w:rPr>
          <w:rFonts w:ascii="Arial" w:hAnsi="Arial" w:cs="Arial"/>
        </w:rPr>
        <w:t>:</w:t>
      </w:r>
    </w:p>
    <w:p w:rsidR="006C3663"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xml:space="preserve">- </w:t>
      </w:r>
      <w:r w:rsidR="005673DB" w:rsidRPr="00037599">
        <w:rPr>
          <w:rFonts w:ascii="Arial" w:hAnsi="Arial" w:cs="Arial"/>
        </w:rPr>
        <w:t xml:space="preserve"> wynagrodzenie ogółem, w tym świadczenia rzeczowe zgodnie z układami zbiorowymi wypłacane personelowi w zamian za prace związane z </w:t>
      </w:r>
      <w:r w:rsidRPr="00037599">
        <w:rPr>
          <w:rFonts w:ascii="Arial" w:hAnsi="Arial" w:cs="Arial"/>
        </w:rPr>
        <w:t>projektem,</w:t>
      </w:r>
    </w:p>
    <w:p w:rsidR="00855A61" w:rsidRPr="00037599" w:rsidRDefault="006C3663" w:rsidP="00037599">
      <w:pPr>
        <w:spacing w:before="120" w:after="120" w:line="360" w:lineRule="auto"/>
        <w:ind w:left="714" w:hanging="357"/>
        <w:jc w:val="both"/>
        <w:rPr>
          <w:rFonts w:ascii="Arial" w:hAnsi="Arial" w:cs="Arial"/>
        </w:rPr>
      </w:pPr>
      <w:r w:rsidRPr="00037599">
        <w:rPr>
          <w:rFonts w:ascii="Arial" w:hAnsi="Arial" w:cs="Arial"/>
        </w:rPr>
        <w:t>- podatki</w:t>
      </w:r>
      <w:r w:rsidR="00855A61" w:rsidRPr="00037599">
        <w:rPr>
          <w:rFonts w:ascii="Arial" w:hAnsi="Arial" w:cs="Arial"/>
        </w:rPr>
        <w:t>,</w:t>
      </w:r>
      <w:r w:rsidRPr="00037599">
        <w:rPr>
          <w:rFonts w:ascii="Arial" w:hAnsi="Arial" w:cs="Arial"/>
        </w:rPr>
        <w:t xml:space="preserve"> </w:t>
      </w:r>
    </w:p>
    <w:p w:rsidR="002A5FC2" w:rsidRPr="00037599" w:rsidRDefault="00855A61" w:rsidP="00037599">
      <w:pPr>
        <w:spacing w:before="120" w:after="120" w:line="360" w:lineRule="auto"/>
        <w:ind w:left="714" w:hanging="357"/>
        <w:jc w:val="both"/>
        <w:rPr>
          <w:rFonts w:ascii="Arial" w:hAnsi="Arial" w:cs="Arial"/>
        </w:rPr>
      </w:pPr>
      <w:r w:rsidRPr="00037599">
        <w:rPr>
          <w:rFonts w:ascii="Arial" w:hAnsi="Arial" w:cs="Arial"/>
        </w:rPr>
        <w:t xml:space="preserve">- obowiązkowe i dobrowolne </w:t>
      </w:r>
      <w:r w:rsidR="006C3663" w:rsidRPr="00037599">
        <w:rPr>
          <w:rFonts w:ascii="Arial" w:hAnsi="Arial" w:cs="Arial"/>
        </w:rPr>
        <w:t xml:space="preserve">składki na ubezpieczenie społeczne pracowników (pierwszy i drugi filar, trzeci filar tylko wtedy, gdy jest to określone w układzie zbiorowym). </w:t>
      </w:r>
    </w:p>
    <w:p w:rsidR="006C3663" w:rsidRPr="00037599" w:rsidRDefault="00037599" w:rsidP="00037599">
      <w:pPr>
        <w:spacing w:before="120" w:after="120" w:line="360" w:lineRule="auto"/>
        <w:ind w:left="357" w:hanging="357"/>
        <w:jc w:val="both"/>
        <w:rPr>
          <w:rFonts w:ascii="Arial" w:hAnsi="Arial" w:cs="Arial"/>
        </w:rPr>
      </w:pPr>
      <w:r>
        <w:rPr>
          <w:rFonts w:ascii="Arial" w:hAnsi="Arial" w:cs="Arial"/>
        </w:rPr>
        <w:t>6</w:t>
      </w:r>
      <w:r w:rsidR="00565443">
        <w:rPr>
          <w:rFonts w:ascii="Arial" w:hAnsi="Arial" w:cs="Arial"/>
        </w:rPr>
        <w:t xml:space="preserve">)  </w:t>
      </w:r>
      <w:r w:rsidR="008C6FB2" w:rsidRPr="00037599">
        <w:rPr>
          <w:rFonts w:ascii="Arial" w:hAnsi="Arial" w:cs="Arial"/>
        </w:rPr>
        <w:t xml:space="preserve">Koszty personelu zewnętrznego </w:t>
      </w:r>
      <w:r w:rsidR="00855A61" w:rsidRPr="00037599">
        <w:rPr>
          <w:rFonts w:ascii="Arial" w:hAnsi="Arial" w:cs="Arial"/>
        </w:rPr>
        <w:t xml:space="preserve">powinny być wyszczególnione na fakturze wystawionej w związku z zamawianą usługą realizowaną przez personel zewnętrzny. </w:t>
      </w:r>
    </w:p>
    <w:p w:rsidR="00855A61" w:rsidRPr="00037599" w:rsidRDefault="00037599" w:rsidP="00037599">
      <w:pPr>
        <w:spacing w:before="120" w:after="120" w:line="360" w:lineRule="auto"/>
        <w:ind w:left="357" w:hanging="357"/>
        <w:jc w:val="both"/>
        <w:rPr>
          <w:rFonts w:ascii="Arial" w:hAnsi="Arial" w:cs="Arial"/>
        </w:rPr>
      </w:pPr>
      <w:r>
        <w:rPr>
          <w:rFonts w:ascii="Arial" w:hAnsi="Arial" w:cs="Arial"/>
        </w:rPr>
        <w:lastRenderedPageBreak/>
        <w:t>7</w:t>
      </w:r>
      <w:r w:rsidR="00565443">
        <w:rPr>
          <w:rFonts w:ascii="Arial" w:hAnsi="Arial" w:cs="Arial"/>
        </w:rPr>
        <w:t xml:space="preserve">)  </w:t>
      </w:r>
      <w:r w:rsidR="00855A61" w:rsidRPr="00037599">
        <w:rPr>
          <w:rFonts w:ascii="Arial" w:hAnsi="Arial" w:cs="Arial"/>
        </w:rPr>
        <w:t>W przypadku kiedy personel zewnętrzny prowadzi szkolenia</w:t>
      </w:r>
      <w:r w:rsidR="006740DD" w:rsidRPr="00037599">
        <w:rPr>
          <w:rFonts w:ascii="Arial" w:hAnsi="Arial" w:cs="Arial"/>
        </w:rPr>
        <w:t>,</w:t>
      </w:r>
      <w:r w:rsidR="00855A61" w:rsidRPr="00037599">
        <w:rPr>
          <w:rFonts w:ascii="Arial" w:hAnsi="Arial" w:cs="Arial"/>
        </w:rPr>
        <w:t xml:space="preserve"> w skład kosztów personelu nie wchodz</w:t>
      </w:r>
      <w:r w:rsidR="00560B66" w:rsidRPr="00037599">
        <w:rPr>
          <w:rFonts w:ascii="Arial" w:hAnsi="Arial" w:cs="Arial"/>
        </w:rPr>
        <w:t>ą koszty związane z wytworzeniem materiałów dydaktyczny</w:t>
      </w:r>
      <w:r w:rsidR="00E92CC8">
        <w:rPr>
          <w:rFonts w:ascii="Arial" w:hAnsi="Arial" w:cs="Arial"/>
        </w:rPr>
        <w:t>ch</w:t>
      </w:r>
      <w:r w:rsidR="00560B66" w:rsidRPr="00037599">
        <w:rPr>
          <w:rFonts w:ascii="Arial" w:hAnsi="Arial" w:cs="Arial"/>
        </w:rPr>
        <w:t xml:space="preserve"> (poza ich merytorycznym przygotowaniem)</w:t>
      </w:r>
      <w:r w:rsidR="002C01A5" w:rsidRPr="00037599">
        <w:rPr>
          <w:rFonts w:ascii="Arial" w:hAnsi="Arial" w:cs="Arial"/>
        </w:rPr>
        <w:t xml:space="preserve"> oraz</w:t>
      </w:r>
      <w:r w:rsidR="00560B66" w:rsidRPr="00037599">
        <w:rPr>
          <w:rFonts w:ascii="Arial" w:hAnsi="Arial" w:cs="Arial"/>
        </w:rPr>
        <w:t xml:space="preserve"> koszty podróży służbowych. </w:t>
      </w:r>
    </w:p>
    <w:p w:rsidR="00037599" w:rsidRPr="006F233A" w:rsidRDefault="00037599" w:rsidP="006F233A">
      <w:pPr>
        <w:spacing w:before="120" w:after="120" w:line="360" w:lineRule="auto"/>
        <w:ind w:left="357" w:hanging="357"/>
        <w:jc w:val="both"/>
        <w:rPr>
          <w:rFonts w:ascii="Arial" w:hAnsi="Arial" w:cs="Arial"/>
          <w:lang w:eastAsia="ja-JP"/>
        </w:rPr>
      </w:pPr>
      <w:r>
        <w:rPr>
          <w:rFonts w:ascii="Arial" w:hAnsi="Arial" w:cs="Arial"/>
          <w:lang w:eastAsia="ja-JP"/>
        </w:rPr>
        <w:t xml:space="preserve">8)  </w:t>
      </w:r>
      <w:r w:rsidRPr="006F233A">
        <w:rPr>
          <w:rFonts w:ascii="Arial" w:hAnsi="Arial" w:cs="Arial"/>
          <w:lang w:eastAsia="ja-JP"/>
        </w:rPr>
        <w:t>W projektach wybranych do dofinansowania:</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konkursowym w ramach konkursów wszczętych po 1 stycznia 2018 r.,</w:t>
      </w:r>
    </w:p>
    <w:p w:rsidR="00037599" w:rsidRPr="006F233A" w:rsidRDefault="00037599" w:rsidP="006F233A">
      <w:pPr>
        <w:spacing w:before="120" w:after="120" w:line="360" w:lineRule="auto"/>
        <w:ind w:left="714" w:hanging="357"/>
        <w:jc w:val="both"/>
        <w:rPr>
          <w:rFonts w:ascii="Arial" w:hAnsi="Arial" w:cs="Arial"/>
          <w:lang w:eastAsia="ja-JP"/>
        </w:rPr>
      </w:pPr>
      <w:r w:rsidRPr="006F233A">
        <w:rPr>
          <w:rFonts w:ascii="Arial" w:hAnsi="Arial" w:cs="Arial"/>
          <w:lang w:eastAsia="ja-JP"/>
        </w:rPr>
        <w:t>-  w trybie pozakonkursowym w projektach, dla których umowy o dofinansowanie podpisane zostały po 1 stycznia 2018 r.,</w:t>
      </w:r>
    </w:p>
    <w:p w:rsidR="00037599" w:rsidRPr="006F233A" w:rsidRDefault="00037599" w:rsidP="006F233A">
      <w:pPr>
        <w:spacing w:before="120" w:after="120" w:line="360" w:lineRule="auto"/>
        <w:ind w:left="357" w:hanging="357"/>
        <w:jc w:val="both"/>
        <w:rPr>
          <w:rFonts w:ascii="Arial" w:hAnsi="Arial" w:cs="Arial"/>
          <w:lang w:eastAsia="ja-JP"/>
        </w:rPr>
      </w:pPr>
      <w:r w:rsidRPr="006F233A">
        <w:rPr>
          <w:rFonts w:ascii="Arial" w:hAnsi="Arial" w:cs="Arial"/>
          <w:lang w:eastAsia="ja-JP"/>
        </w:rPr>
        <w:t xml:space="preserve">koszty pośrednie rozliczane są stawką ryczałtową określoną dla danego naboru. </w:t>
      </w:r>
    </w:p>
    <w:p w:rsidR="00C33055" w:rsidRDefault="00037599" w:rsidP="006F233A">
      <w:pPr>
        <w:spacing w:before="120" w:after="120" w:line="360" w:lineRule="auto"/>
        <w:ind w:left="357" w:hanging="357"/>
        <w:jc w:val="both"/>
        <w:rPr>
          <w:rFonts w:ascii="Arial" w:eastAsia="MS Mincho" w:hAnsi="Arial" w:cs="Arial"/>
          <w:bCs/>
          <w:lang w:eastAsia="ja-JP"/>
        </w:rPr>
      </w:pPr>
      <w:r>
        <w:rPr>
          <w:rFonts w:ascii="Arial" w:eastAsia="MS Mincho" w:hAnsi="Arial" w:cs="Arial"/>
          <w:bCs/>
          <w:lang w:eastAsia="ja-JP"/>
        </w:rPr>
        <w:t xml:space="preserve">9)  Po upływie terminów wskazanych w pkt </w:t>
      </w:r>
      <w:r w:rsidR="006F233A">
        <w:rPr>
          <w:rFonts w:ascii="Arial" w:eastAsia="MS Mincho" w:hAnsi="Arial" w:cs="Arial"/>
          <w:bCs/>
          <w:lang w:eastAsia="ja-JP"/>
        </w:rPr>
        <w:t>8</w:t>
      </w:r>
      <w:r>
        <w:rPr>
          <w:rFonts w:ascii="Arial" w:eastAsia="MS Mincho" w:hAnsi="Arial" w:cs="Arial"/>
          <w:bCs/>
          <w:lang w:eastAsia="ja-JP"/>
        </w:rPr>
        <w:t xml:space="preserve"> w</w:t>
      </w:r>
      <w:r w:rsidRPr="009A1F7D">
        <w:rPr>
          <w:rFonts w:ascii="Arial" w:eastAsia="MS Mincho" w:hAnsi="Arial" w:cs="Arial"/>
          <w:bCs/>
          <w:lang w:eastAsia="ja-JP"/>
        </w:rPr>
        <w:t xml:space="preserve"> przypadku projektów, w których co najmniej 50% wydatków bezpośrednich (zgodnie z szacunkiem beneficjenta wynikającym ze złożonego do oceny wniosku o dofinasowanie) ponoszone jest w drodze zastosowania </w:t>
      </w:r>
      <w:proofErr w:type="spellStart"/>
      <w:r w:rsidRPr="009A1F7D">
        <w:rPr>
          <w:rFonts w:ascii="Arial" w:eastAsia="MS Mincho" w:hAnsi="Arial" w:cs="Arial"/>
          <w:bCs/>
          <w:lang w:eastAsia="ja-JP"/>
        </w:rPr>
        <w:t>Pzp</w:t>
      </w:r>
      <w:proofErr w:type="spellEnd"/>
      <w:r w:rsidRPr="009A1F7D">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6740DD">
        <w:rPr>
          <w:rFonts w:ascii="Arial" w:eastAsia="MS Mincho" w:hAnsi="Arial" w:cs="Arial"/>
          <w:bCs/>
          <w:i/>
          <w:lang w:eastAsia="ja-JP"/>
        </w:rPr>
        <w:t xml:space="preserve">Wytycznych </w:t>
      </w:r>
      <w:r w:rsidRPr="009A1F7D">
        <w:rPr>
          <w:rFonts w:ascii="Arial" w:eastAsia="MS Mincho" w:hAnsi="Arial" w:cs="Arial"/>
          <w:bCs/>
          <w:lang w:eastAsia="ja-JP"/>
        </w:rPr>
        <w:t xml:space="preserve">oraz podrozdziału 3.4 niniejszego </w:t>
      </w:r>
      <w:r w:rsidRPr="006740DD">
        <w:rPr>
          <w:rFonts w:ascii="Arial" w:eastAsia="MS Mincho" w:hAnsi="Arial" w:cs="Arial"/>
          <w:bCs/>
          <w:i/>
          <w:lang w:eastAsia="ja-JP"/>
        </w:rPr>
        <w:t>Katalogu</w:t>
      </w:r>
      <w:r w:rsidRPr="009A1F7D">
        <w:rPr>
          <w:rFonts w:ascii="Arial" w:eastAsia="MS Mincho" w:hAnsi="Arial" w:cs="Arial"/>
          <w:bCs/>
          <w:lang w:eastAsia="ja-JP"/>
        </w:rPr>
        <w:t>.</w:t>
      </w:r>
    </w:p>
    <w:p w:rsidR="006F233A" w:rsidRPr="00C33055" w:rsidRDefault="006F233A" w:rsidP="006F233A">
      <w:pPr>
        <w:spacing w:before="120" w:after="120" w:line="360" w:lineRule="auto"/>
        <w:ind w:left="357" w:hanging="357"/>
        <w:jc w:val="both"/>
      </w:pPr>
    </w:p>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0" w:name="_Toc428535187"/>
      <w:bookmarkStart w:id="131" w:name="_Toc431295988"/>
      <w:bookmarkStart w:id="132" w:name="_Toc499016923"/>
      <w:r>
        <w:rPr>
          <w:rFonts w:ascii="Arial" w:hAnsi="Arial" w:cs="Arial"/>
          <w:i/>
          <w:color w:val="000000" w:themeColor="text1"/>
          <w:sz w:val="24"/>
          <w:szCs w:val="24"/>
        </w:rPr>
        <w:t>Zamówienia udzielane w projektach</w:t>
      </w:r>
      <w:bookmarkEnd w:id="130"/>
      <w:bookmarkEnd w:id="131"/>
      <w:bookmarkEnd w:id="132"/>
    </w:p>
    <w:p w:rsidR="00D75767" w:rsidRPr="00B81671" w:rsidRDefault="00D75767" w:rsidP="00C91765">
      <w:pPr>
        <w:numPr>
          <w:ilvl w:val="0"/>
          <w:numId w:val="50"/>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w:t>
      </w:r>
      <w:r w:rsidRPr="00B81671">
        <w:rPr>
          <w:rFonts w:ascii="Arial" w:eastAsia="MS Mincho" w:hAnsi="Arial" w:cs="Arial"/>
          <w:i/>
          <w:lang w:eastAsia="ja-JP"/>
        </w:rPr>
        <w:t>.</w:t>
      </w:r>
    </w:p>
    <w:p w:rsidR="00D75767" w:rsidRPr="00F57372" w:rsidRDefault="00D75767" w:rsidP="00C91765">
      <w:pPr>
        <w:numPr>
          <w:ilvl w:val="0"/>
          <w:numId w:val="50"/>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p>
    <w:p w:rsidR="00D75767" w:rsidRPr="004B473C" w:rsidRDefault="00D75767" w:rsidP="00C91765">
      <w:pPr>
        <w:numPr>
          <w:ilvl w:val="0"/>
          <w:numId w:val="50"/>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C91765">
      <w:pPr>
        <w:numPr>
          <w:ilvl w:val="0"/>
          <w:numId w:val="50"/>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3" w:name="_Toc429043882"/>
      <w:bookmarkStart w:id="134" w:name="_Toc499016924"/>
      <w:bookmarkEnd w:id="128"/>
      <w:bookmarkEnd w:id="129"/>
      <w:bookmarkEnd w:id="133"/>
      <w:r w:rsidRPr="00984B98">
        <w:rPr>
          <w:rFonts w:ascii="Arial" w:hAnsi="Arial" w:cs="Arial"/>
          <w:i/>
          <w:color w:val="000000" w:themeColor="text1"/>
          <w:sz w:val="24"/>
          <w:szCs w:val="24"/>
        </w:rPr>
        <w:t>Wkład niepieniężny</w:t>
      </w:r>
      <w:bookmarkEnd w:id="134"/>
    </w:p>
    <w:p w:rsidR="00903FFD" w:rsidRPr="00984B98" w:rsidRDefault="00903FFD" w:rsidP="00C91765">
      <w:pPr>
        <w:pStyle w:val="Akapitzlist"/>
        <w:numPr>
          <w:ilvl w:val="0"/>
          <w:numId w:val="70"/>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C91765">
      <w:pPr>
        <w:pStyle w:val="Akapitzlist"/>
        <w:numPr>
          <w:ilvl w:val="0"/>
          <w:numId w:val="70"/>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lastRenderedPageBreak/>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99016925"/>
      <w:bookmarkStart w:id="136" w:name="_Toc499016926"/>
      <w:bookmarkStart w:id="137" w:name="_Toc499016927"/>
      <w:bookmarkEnd w:id="135"/>
      <w:bookmarkEnd w:id="136"/>
      <w:r w:rsidRPr="00C05D20">
        <w:rPr>
          <w:rFonts w:ascii="Arial" w:hAnsi="Arial" w:cs="Arial"/>
          <w:i/>
          <w:color w:val="000000" w:themeColor="text1"/>
          <w:sz w:val="24"/>
          <w:szCs w:val="24"/>
        </w:rPr>
        <w:t>Leasing</w:t>
      </w:r>
      <w:bookmarkEnd w:id="137"/>
    </w:p>
    <w:p w:rsidR="006F58D2" w:rsidRDefault="006F58D2" w:rsidP="00C91765">
      <w:pPr>
        <w:keepNext/>
        <w:numPr>
          <w:ilvl w:val="0"/>
          <w:numId w:val="25"/>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C91765">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8" w:name="_Toc499016928"/>
      <w:r w:rsidRPr="008300AA">
        <w:rPr>
          <w:rFonts w:ascii="Arial" w:hAnsi="Arial" w:cs="Arial"/>
          <w:i/>
          <w:color w:val="000000" w:themeColor="text1"/>
          <w:sz w:val="24"/>
          <w:szCs w:val="24"/>
        </w:rPr>
        <w:t>Projekty generujące dochód po zakończeniu realizacji projektów</w:t>
      </w:r>
      <w:bookmarkEnd w:id="138"/>
    </w:p>
    <w:p w:rsidR="008C5BFF" w:rsidRPr="008300AA" w:rsidRDefault="008C5BFF" w:rsidP="00C91765">
      <w:pPr>
        <w:pStyle w:val="Akapitzlist"/>
        <w:numPr>
          <w:ilvl w:val="0"/>
          <w:numId w:val="71"/>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w:t>
      </w:r>
      <w:r w:rsidR="003D6B3B" w:rsidRPr="008300AA">
        <w:rPr>
          <w:rFonts w:ascii="Arial" w:hAnsi="Arial" w:cs="Arial"/>
          <w:lang w:eastAsia="pl-PL"/>
        </w:rPr>
        <w:t>.</w:t>
      </w:r>
    </w:p>
    <w:p w:rsidR="00634991" w:rsidRPr="008300AA" w:rsidRDefault="00903FFD" w:rsidP="00C91765">
      <w:pPr>
        <w:pStyle w:val="Akapitzlist"/>
        <w:numPr>
          <w:ilvl w:val="0"/>
          <w:numId w:val="71"/>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07115853"/>
      <w:bookmarkStart w:id="140" w:name="_Toc407116383"/>
      <w:bookmarkStart w:id="141" w:name="_Toc499016929"/>
      <w:bookmarkEnd w:id="139"/>
      <w:bookmarkEnd w:id="140"/>
      <w:r w:rsidRPr="008300AA">
        <w:rPr>
          <w:rFonts w:ascii="Arial" w:hAnsi="Arial" w:cs="Arial"/>
          <w:i/>
          <w:color w:val="000000" w:themeColor="text1"/>
          <w:sz w:val="24"/>
          <w:szCs w:val="24"/>
        </w:rPr>
        <w:t>Kwalifikowalność podatku VAT i innych podatków, opłat i obciążeń</w:t>
      </w:r>
      <w:bookmarkEnd w:id="141"/>
    </w:p>
    <w:p w:rsidR="002D0AA9" w:rsidRPr="008300AA" w:rsidRDefault="00A0475E" w:rsidP="00C91765">
      <w:pPr>
        <w:pStyle w:val="Akapitzlist"/>
        <w:numPr>
          <w:ilvl w:val="0"/>
          <w:numId w:val="72"/>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w:t>
      </w:r>
    </w:p>
    <w:p w:rsidR="00903FFD" w:rsidRPr="008300AA" w:rsidRDefault="005E0166" w:rsidP="00C91765">
      <w:pPr>
        <w:pStyle w:val="Akapitzlist"/>
        <w:numPr>
          <w:ilvl w:val="0"/>
          <w:numId w:val="72"/>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2" w:name="_Toc499016930"/>
      <w:r w:rsidRPr="00C05D20">
        <w:rPr>
          <w:rFonts w:ascii="Arial" w:hAnsi="Arial" w:cs="Arial"/>
          <w:i/>
          <w:color w:val="000000" w:themeColor="text1"/>
          <w:sz w:val="24"/>
          <w:szCs w:val="24"/>
        </w:rPr>
        <w:t>Kwalifikowalność działań informacyjno-promocyjnych</w:t>
      </w:r>
      <w:bookmarkEnd w:id="142"/>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C91765">
      <w:pPr>
        <w:pStyle w:val="Akapitzlist"/>
        <w:numPr>
          <w:ilvl w:val="0"/>
          <w:numId w:val="17"/>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C91765">
      <w:pPr>
        <w:pStyle w:val="Akapitzlist"/>
        <w:numPr>
          <w:ilvl w:val="0"/>
          <w:numId w:val="17"/>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3" w:name="_Toc499016931"/>
      <w:r w:rsidRPr="00C05D20">
        <w:rPr>
          <w:rFonts w:ascii="Arial" w:hAnsi="Arial" w:cs="Arial"/>
          <w:i/>
          <w:color w:val="000000" w:themeColor="text1"/>
          <w:sz w:val="24"/>
          <w:szCs w:val="24"/>
        </w:rPr>
        <w:t>Koszty pośrednie</w:t>
      </w:r>
      <w:bookmarkEnd w:id="143"/>
    </w:p>
    <w:p w:rsidR="004D05D2" w:rsidRPr="007E469E" w:rsidRDefault="004D05D2" w:rsidP="00C91765">
      <w:pPr>
        <w:pStyle w:val="Akapitzlist"/>
        <w:numPr>
          <w:ilvl w:val="0"/>
          <w:numId w:val="16"/>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 xml:space="preserve">Wytycznych </w:t>
      </w:r>
      <w:r w:rsidRPr="007E469E">
        <w:rPr>
          <w:rFonts w:ascii="Arial" w:hAnsi="Arial" w:cs="Arial"/>
        </w:rPr>
        <w:t xml:space="preserve">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C91765">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C91765">
      <w:pPr>
        <w:pStyle w:val="Akapitzlist"/>
        <w:numPr>
          <w:ilvl w:val="0"/>
          <w:numId w:val="16"/>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4" w:name="_Toc417549284"/>
      <w:bookmarkStart w:id="145" w:name="_Toc417549353"/>
      <w:bookmarkStart w:id="146" w:name="_Toc417549422"/>
      <w:bookmarkStart w:id="147" w:name="_Toc418584390"/>
      <w:bookmarkStart w:id="148" w:name="_Toc418588606"/>
      <w:bookmarkStart w:id="149" w:name="_Toc390161737"/>
      <w:bookmarkStart w:id="150" w:name="_Toc399917190"/>
      <w:bookmarkStart w:id="151" w:name="_Toc499016932"/>
      <w:bookmarkEnd w:id="144"/>
      <w:bookmarkEnd w:id="145"/>
      <w:bookmarkEnd w:id="146"/>
      <w:bookmarkEnd w:id="147"/>
      <w:bookmarkEnd w:id="148"/>
      <w:r w:rsidRPr="00C05D20">
        <w:rPr>
          <w:rFonts w:ascii="Arial" w:hAnsi="Arial" w:cs="Arial"/>
          <w:i/>
          <w:color w:val="000000" w:themeColor="text1"/>
          <w:sz w:val="24"/>
          <w:szCs w:val="24"/>
        </w:rPr>
        <w:t>Koszty związane z angażowaniem personelu</w:t>
      </w:r>
      <w:bookmarkEnd w:id="149"/>
      <w:bookmarkEnd w:id="150"/>
      <w:r w:rsidR="00425717" w:rsidRPr="00C05D20">
        <w:rPr>
          <w:rFonts w:ascii="Arial" w:hAnsi="Arial" w:cs="Arial"/>
          <w:i/>
          <w:color w:val="000000" w:themeColor="text1"/>
          <w:sz w:val="24"/>
          <w:szCs w:val="24"/>
        </w:rPr>
        <w:t xml:space="preserve"> projektu</w:t>
      </w:r>
      <w:bookmarkEnd w:id="151"/>
    </w:p>
    <w:p w:rsidR="00903FFD" w:rsidRPr="007E469E" w:rsidRDefault="00903FFD" w:rsidP="00C91765">
      <w:pPr>
        <w:pStyle w:val="Akapitzlist"/>
        <w:numPr>
          <w:ilvl w:val="0"/>
          <w:numId w:val="11"/>
        </w:numPr>
        <w:spacing w:after="0" w:line="360" w:lineRule="auto"/>
        <w:jc w:val="both"/>
        <w:rPr>
          <w:rFonts w:ascii="Arial" w:hAnsi="Arial" w:cs="Arial"/>
        </w:rPr>
      </w:pPr>
      <w:bookmarkStart w:id="152" w:name="_Toc276551643"/>
      <w:bookmarkStart w:id="153"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 xml:space="preserve">Wytycznych </w:t>
      </w:r>
      <w:r w:rsidRPr="007E469E">
        <w:rPr>
          <w:rFonts w:ascii="Arial" w:hAnsi="Arial" w:cs="Arial"/>
        </w:rPr>
        <w:t xml:space="preserve">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52"/>
      <w:bookmarkEnd w:id="153"/>
      <w:r w:rsidRPr="007E469E">
        <w:rPr>
          <w:rFonts w:ascii="Arial" w:hAnsi="Arial" w:cs="Arial"/>
        </w:rPr>
        <w:t xml:space="preserve"> </w:t>
      </w:r>
    </w:p>
    <w:p w:rsidR="00903FFD" w:rsidRPr="007E469E" w:rsidRDefault="00903FFD" w:rsidP="00C91765">
      <w:pPr>
        <w:pStyle w:val="Akapitzlist"/>
        <w:numPr>
          <w:ilvl w:val="0"/>
          <w:numId w:val="11"/>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07115859"/>
      <w:bookmarkStart w:id="155" w:name="_Toc407116389"/>
      <w:bookmarkEnd w:id="154"/>
      <w:bookmarkEnd w:id="155"/>
      <w:r w:rsidRPr="00C05D20">
        <w:rPr>
          <w:rFonts w:ascii="Arial" w:hAnsi="Arial" w:cs="Arial"/>
          <w:i/>
          <w:color w:val="000000" w:themeColor="text1"/>
          <w:sz w:val="24"/>
          <w:szCs w:val="24"/>
        </w:rPr>
        <w:t xml:space="preserve"> </w:t>
      </w:r>
      <w:bookmarkStart w:id="156" w:name="_Toc499016933"/>
      <w:r w:rsidRPr="00C05D20">
        <w:rPr>
          <w:rFonts w:ascii="Arial" w:hAnsi="Arial" w:cs="Arial"/>
          <w:i/>
          <w:color w:val="000000" w:themeColor="text1"/>
          <w:sz w:val="24"/>
          <w:szCs w:val="24"/>
        </w:rPr>
        <w:t>Zmiany projektów</w:t>
      </w:r>
      <w:bookmarkEnd w:id="156"/>
    </w:p>
    <w:p w:rsidR="00A06EE2" w:rsidRPr="007E469E" w:rsidRDefault="00A06EE2" w:rsidP="00C91765">
      <w:pPr>
        <w:numPr>
          <w:ilvl w:val="0"/>
          <w:numId w:val="14"/>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C91765">
      <w:pPr>
        <w:numPr>
          <w:ilvl w:val="0"/>
          <w:numId w:val="14"/>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7" w:name="_Toc487797035"/>
      <w:bookmarkStart w:id="158" w:name="_Toc487809544"/>
      <w:bookmarkStart w:id="159" w:name="_Toc487797038"/>
      <w:bookmarkStart w:id="160" w:name="_Toc487809547"/>
      <w:bookmarkStart w:id="161" w:name="_Toc487797044"/>
      <w:bookmarkStart w:id="162" w:name="_Toc487809553"/>
      <w:bookmarkStart w:id="163" w:name="_Toc499016934"/>
      <w:bookmarkEnd w:id="157"/>
      <w:bookmarkEnd w:id="158"/>
      <w:bookmarkEnd w:id="159"/>
      <w:bookmarkEnd w:id="160"/>
      <w:bookmarkEnd w:id="161"/>
      <w:bookmarkEnd w:id="162"/>
      <w:r w:rsidRPr="00C05D20">
        <w:rPr>
          <w:rFonts w:ascii="Arial" w:hAnsi="Arial" w:cs="Arial"/>
          <w:i/>
          <w:color w:val="000000" w:themeColor="text1"/>
          <w:sz w:val="24"/>
          <w:szCs w:val="24"/>
        </w:rPr>
        <w:t>Podmiot dokonujący wydatków kwalifikowalnych</w:t>
      </w:r>
      <w:bookmarkEnd w:id="163"/>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565443">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803DD7" w:rsidRPr="00803DD7" w:rsidRDefault="00803DD7" w:rsidP="00803DD7">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Zgody na ustanowienie nowego podmiotu bądź podmiotów udziela IP POPC na </w:t>
      </w:r>
      <w:r w:rsidRPr="001321AA">
        <w:rPr>
          <w:rFonts w:ascii="Arial" w:eastAsia="Times New Roman" w:hAnsi="Arial" w:cs="Arial"/>
          <w:lang w:eastAsia="pl-PL"/>
        </w:rPr>
        <w:t xml:space="preserve"> uzasadniony wniosek beneficjenta</w:t>
      </w:r>
      <w:r>
        <w:rPr>
          <w:rFonts w:ascii="Arial" w:eastAsia="Times New Roman" w:hAnsi="Arial" w:cs="Arial"/>
          <w:lang w:eastAsia="pl-PL"/>
        </w:rPr>
        <w:t xml:space="preserve">. Pozytywne rozpatrzenie wniosku wiąże się z koniecznością podpisania </w:t>
      </w:r>
      <w:r w:rsidRPr="001321AA">
        <w:rPr>
          <w:rFonts w:ascii="Arial" w:eastAsia="Times New Roman" w:hAnsi="Arial" w:cs="Arial"/>
          <w:lang w:eastAsia="pl-PL"/>
        </w:rPr>
        <w:t>aneksu do umowy o dofinansowanie.</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 xml:space="preserve">o </w:t>
      </w:r>
      <w:r w:rsidRPr="00B81671">
        <w:rPr>
          <w:rFonts w:ascii="Arial" w:eastAsia="Times New Roman" w:hAnsi="Arial" w:cs="Arial"/>
          <w:lang w:eastAsia="pl-PL"/>
        </w:rPr>
        <w:lastRenderedPageBreak/>
        <w:t>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4" w:name="_Toc499016935"/>
      <w:r w:rsidRPr="00C05D20">
        <w:rPr>
          <w:rFonts w:ascii="Arial" w:hAnsi="Arial" w:cs="Arial"/>
          <w:i/>
          <w:color w:val="000000" w:themeColor="text1"/>
          <w:sz w:val="24"/>
          <w:szCs w:val="24"/>
        </w:rPr>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4"/>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lastRenderedPageBreak/>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5" w:name="_Toc499016936"/>
      <w:r w:rsidRPr="00C05D20">
        <w:rPr>
          <w:rFonts w:ascii="Arial" w:hAnsi="Arial" w:cs="Arial"/>
          <w:i/>
          <w:color w:val="000000" w:themeColor="text1"/>
          <w:sz w:val="24"/>
          <w:szCs w:val="24"/>
        </w:rPr>
        <w:t>Projekty grantowe</w:t>
      </w:r>
      <w:bookmarkEnd w:id="165"/>
    </w:p>
    <w:p w:rsidR="00777453" w:rsidRPr="00833A56" w:rsidRDefault="00903FFD"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w:t>
      </w:r>
      <w:r w:rsidRPr="00833A56">
        <w:rPr>
          <w:rFonts w:ascii="Arial" w:eastAsia="Times New Roman" w:hAnsi="Arial" w:cs="Arial"/>
          <w:lang w:eastAsia="pl-PL"/>
        </w:rPr>
        <w:t>.</w:t>
      </w:r>
    </w:p>
    <w:p w:rsidR="005A373A" w:rsidRPr="00B81671" w:rsidRDefault="003370FA" w:rsidP="00C91765">
      <w:pPr>
        <w:numPr>
          <w:ilvl w:val="0"/>
          <w:numId w:val="1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 xml:space="preserve">Wytycznych </w:t>
      </w:r>
      <w:r w:rsidRPr="00B81671">
        <w:rPr>
          <w:rFonts w:ascii="Arial" w:eastAsia="Times New Roman" w:hAnsi="Arial" w:cs="Arial"/>
          <w:lang w:eastAsia="pl-PL"/>
        </w:rPr>
        <w:t xml:space="preserve">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6" w:name="_Toc429043896"/>
      <w:bookmarkStart w:id="167" w:name="_Toc429043907"/>
      <w:bookmarkEnd w:id="166"/>
      <w:bookmarkEnd w:id="167"/>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8" w:name="_Toc499016937"/>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8"/>
    </w:p>
    <w:p w:rsidR="003F5EF6" w:rsidRPr="00A12D04" w:rsidRDefault="00E5793F" w:rsidP="00C91765">
      <w:pPr>
        <w:pStyle w:val="Nagwek2"/>
        <w:numPr>
          <w:ilvl w:val="1"/>
          <w:numId w:val="51"/>
        </w:numPr>
        <w:spacing w:before="240" w:after="60" w:line="360" w:lineRule="auto"/>
        <w:jc w:val="center"/>
        <w:rPr>
          <w:rFonts w:ascii="Arial" w:hAnsi="Arial" w:cs="Arial"/>
          <w:i/>
          <w:color w:val="auto"/>
          <w:sz w:val="24"/>
          <w:szCs w:val="24"/>
        </w:rPr>
      </w:pPr>
      <w:bookmarkStart w:id="169" w:name="_Toc488064858"/>
      <w:bookmarkStart w:id="170" w:name="_Toc488064903"/>
      <w:bookmarkStart w:id="171" w:name="_Toc499016938"/>
      <w:bookmarkEnd w:id="169"/>
      <w:bookmarkEnd w:id="170"/>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71"/>
    </w:p>
    <w:p w:rsidR="00E56482" w:rsidRDefault="003217B9" w:rsidP="00C91765">
      <w:pPr>
        <w:pStyle w:val="Akapit"/>
        <w:numPr>
          <w:ilvl w:val="0"/>
          <w:numId w:val="42"/>
        </w:numPr>
        <w:spacing w:before="120" w:after="120"/>
        <w:ind w:left="284" w:hanging="284"/>
        <w:outlineLvl w:val="5"/>
        <w:rPr>
          <w:bCs w:val="0"/>
          <w:szCs w:val="22"/>
        </w:rPr>
      </w:pPr>
      <w:r w:rsidRPr="002F4FE0">
        <w:rPr>
          <w:bCs w:val="0"/>
          <w:szCs w:val="22"/>
        </w:rPr>
        <w:t xml:space="preserve">W ramach </w:t>
      </w:r>
      <w:r w:rsidR="00943947">
        <w:rPr>
          <w:bCs w:val="0"/>
          <w:szCs w:val="22"/>
        </w:rPr>
        <w:t xml:space="preserve">działania 3.1 </w:t>
      </w:r>
      <w:r w:rsidRPr="002F4FE0">
        <w:rPr>
          <w:bCs w:val="0"/>
          <w:szCs w:val="22"/>
        </w:rPr>
        <w:t>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w:t>
      </w:r>
      <w:r w:rsidR="00420972" w:rsidRPr="002F4FE0">
        <w:rPr>
          <w:bCs w:val="0"/>
          <w:szCs w:val="22"/>
        </w:rPr>
        <w:t>.</w:t>
      </w:r>
    </w:p>
    <w:p w:rsidR="00E56482" w:rsidRPr="0083127D" w:rsidRDefault="00E56482" w:rsidP="00C91765">
      <w:pPr>
        <w:pStyle w:val="Akapit"/>
        <w:numPr>
          <w:ilvl w:val="0"/>
          <w:numId w:val="42"/>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C91765">
      <w:pPr>
        <w:pStyle w:val="Nagwek3"/>
        <w:numPr>
          <w:ilvl w:val="2"/>
          <w:numId w:val="52"/>
        </w:numPr>
        <w:spacing w:before="240" w:after="60" w:line="360" w:lineRule="auto"/>
        <w:jc w:val="center"/>
        <w:rPr>
          <w:rFonts w:ascii="Arial" w:hAnsi="Arial" w:cs="Arial"/>
          <w:b w:val="0"/>
          <w:i/>
          <w:color w:val="auto"/>
          <w:sz w:val="24"/>
          <w:szCs w:val="24"/>
        </w:rPr>
      </w:pPr>
      <w:bookmarkStart w:id="172" w:name="_Toc499016939"/>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72"/>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dokumentacja przetargowa,</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koncepcja realizacji projektu,</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C91765">
      <w:pPr>
        <w:pStyle w:val="Nagwek3"/>
        <w:numPr>
          <w:ilvl w:val="2"/>
          <w:numId w:val="52"/>
        </w:numPr>
        <w:spacing w:before="240" w:after="60" w:line="360" w:lineRule="auto"/>
        <w:jc w:val="center"/>
        <w:rPr>
          <w:rFonts w:ascii="Arial" w:hAnsi="Arial" w:cs="Arial"/>
          <w:b w:val="0"/>
          <w:i/>
          <w:color w:val="auto"/>
          <w:sz w:val="24"/>
          <w:szCs w:val="24"/>
        </w:rPr>
      </w:pPr>
      <w:bookmarkStart w:id="173" w:name="_Toc499016940"/>
      <w:r>
        <w:rPr>
          <w:rFonts w:ascii="Arial" w:hAnsi="Arial" w:cs="Arial"/>
          <w:b w:val="0"/>
          <w:i/>
          <w:color w:val="auto"/>
          <w:sz w:val="24"/>
          <w:szCs w:val="24"/>
        </w:rPr>
        <w:t>Pozostałe wydatki kwalifikowalne</w:t>
      </w:r>
      <w:bookmarkEnd w:id="173"/>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C91765">
      <w:pPr>
        <w:pStyle w:val="Akapit"/>
        <w:numPr>
          <w:ilvl w:val="0"/>
          <w:numId w:val="26"/>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8"/>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cateringiem,</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C91765">
      <w:pPr>
        <w:pStyle w:val="Akapit"/>
        <w:numPr>
          <w:ilvl w:val="0"/>
          <w:numId w:val="38"/>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C91765">
      <w:pPr>
        <w:pStyle w:val="Akapit"/>
        <w:numPr>
          <w:ilvl w:val="0"/>
          <w:numId w:val="26"/>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C91765">
      <w:pPr>
        <w:pStyle w:val="Akapit"/>
        <w:numPr>
          <w:ilvl w:val="0"/>
          <w:numId w:val="26"/>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w:t>
      </w:r>
      <w:r w:rsidR="008768A5" w:rsidRPr="007023AA">
        <w:rPr>
          <w:bCs w:val="0"/>
          <w:szCs w:val="22"/>
        </w:rPr>
        <w:t>;</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C91765">
      <w:pPr>
        <w:pStyle w:val="Akapit"/>
        <w:numPr>
          <w:ilvl w:val="1"/>
          <w:numId w:val="43"/>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C91765">
      <w:pPr>
        <w:pStyle w:val="Akapit"/>
        <w:numPr>
          <w:ilvl w:val="1"/>
          <w:numId w:val="43"/>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C91765">
      <w:pPr>
        <w:pStyle w:val="Akapit"/>
        <w:numPr>
          <w:ilvl w:val="0"/>
          <w:numId w:val="43"/>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C91765">
      <w:pPr>
        <w:pStyle w:val="Akapit"/>
        <w:numPr>
          <w:ilvl w:val="0"/>
          <w:numId w:val="41"/>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C91765">
      <w:pPr>
        <w:pStyle w:val="Akapit"/>
        <w:numPr>
          <w:ilvl w:val="0"/>
          <w:numId w:val="41"/>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C91765">
      <w:pPr>
        <w:pStyle w:val="Akapit"/>
        <w:numPr>
          <w:ilvl w:val="0"/>
          <w:numId w:val="43"/>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C91765">
      <w:pPr>
        <w:pStyle w:val="Akapit"/>
        <w:numPr>
          <w:ilvl w:val="0"/>
          <w:numId w:val="43"/>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C91765">
      <w:pPr>
        <w:pStyle w:val="Akapitzlist"/>
        <w:numPr>
          <w:ilvl w:val="1"/>
          <w:numId w:val="28"/>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C91765">
      <w:pPr>
        <w:pStyle w:val="Nagwek2"/>
        <w:numPr>
          <w:ilvl w:val="1"/>
          <w:numId w:val="51"/>
        </w:numPr>
        <w:spacing w:before="240" w:after="60" w:line="360" w:lineRule="auto"/>
        <w:jc w:val="center"/>
        <w:rPr>
          <w:rFonts w:ascii="Arial" w:hAnsi="Arial" w:cs="Arial"/>
          <w:i/>
          <w:color w:val="auto"/>
          <w:sz w:val="24"/>
          <w:szCs w:val="24"/>
        </w:rPr>
      </w:pPr>
      <w:bookmarkStart w:id="174" w:name="_Toc487809562"/>
      <w:bookmarkStart w:id="175" w:name="_Toc488062461"/>
      <w:bookmarkStart w:id="176" w:name="_Toc488062507"/>
      <w:bookmarkStart w:id="177" w:name="_Toc499016941"/>
      <w:bookmarkEnd w:id="174"/>
      <w:bookmarkEnd w:id="175"/>
      <w:bookmarkEnd w:id="176"/>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7"/>
    </w:p>
    <w:p w:rsidR="003F109C" w:rsidRPr="003F109C" w:rsidRDefault="003F109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8" w:name="_Toc499016942"/>
      <w:r w:rsidRPr="003F109C">
        <w:rPr>
          <w:rFonts w:ascii="Arial" w:eastAsiaTheme="majorEastAsia" w:hAnsi="Arial" w:cs="Arial"/>
          <w:bCs/>
          <w:i/>
          <w:sz w:val="24"/>
          <w:szCs w:val="24"/>
        </w:rPr>
        <w:t>Dokumentacja niezbędna do przygotowania projektu</w:t>
      </w:r>
      <w:bookmarkEnd w:id="178"/>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9" w:name="_Toc499016943"/>
      <w:r w:rsidRPr="003F109C">
        <w:rPr>
          <w:rFonts w:ascii="Arial" w:eastAsiaTheme="majorEastAsia" w:hAnsi="Arial" w:cs="Arial"/>
          <w:bCs/>
          <w:i/>
          <w:sz w:val="24"/>
          <w:szCs w:val="24"/>
        </w:rPr>
        <w:t>Pozostałe wydatki kwalifikowalne</w:t>
      </w:r>
      <w:bookmarkEnd w:id="179"/>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cateringiem,</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C91765">
      <w:pPr>
        <w:pStyle w:val="Akapitzlist"/>
        <w:numPr>
          <w:ilvl w:val="1"/>
          <w:numId w:val="73"/>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C91765">
      <w:pPr>
        <w:keepNext/>
        <w:numPr>
          <w:ilvl w:val="0"/>
          <w:numId w:val="54"/>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9"/>
      </w:r>
      <w:r w:rsidRPr="003F109C">
        <w:rPr>
          <w:rFonts w:ascii="Arial" w:eastAsia="Times New Roman" w:hAnsi="Arial" w:cs="Times New Roman"/>
          <w:lang w:eastAsia="pl-PL"/>
        </w:rPr>
        <w:t>, w tym w szczególności wydatki związane z:</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C91765">
      <w:pPr>
        <w:numPr>
          <w:ilvl w:val="1"/>
          <w:numId w:val="55"/>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C91765">
      <w:pPr>
        <w:numPr>
          <w:ilvl w:val="1"/>
          <w:numId w:val="55"/>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C91765">
      <w:pPr>
        <w:pStyle w:val="Akapitzlist"/>
        <w:numPr>
          <w:ilvl w:val="0"/>
          <w:numId w:val="54"/>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C91765">
      <w:pPr>
        <w:keepNext/>
        <w:numPr>
          <w:ilvl w:val="0"/>
          <w:numId w:val="54"/>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C91765">
      <w:pPr>
        <w:keepNext/>
        <w:numPr>
          <w:ilvl w:val="0"/>
          <w:numId w:val="54"/>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C91765">
      <w:pPr>
        <w:pStyle w:val="Akapitzlist"/>
        <w:numPr>
          <w:ilvl w:val="0"/>
          <w:numId w:val="54"/>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C91765">
      <w:pPr>
        <w:pStyle w:val="Akapitzlist"/>
        <w:numPr>
          <w:ilvl w:val="0"/>
          <w:numId w:val="76"/>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C91765">
      <w:pPr>
        <w:pStyle w:val="Akapitzlist"/>
        <w:numPr>
          <w:ilvl w:val="0"/>
          <w:numId w:val="76"/>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C91765">
      <w:pPr>
        <w:numPr>
          <w:ilvl w:val="1"/>
          <w:numId w:val="56"/>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C91765">
      <w:pPr>
        <w:numPr>
          <w:ilvl w:val="1"/>
          <w:numId w:val="56"/>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C91765">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80" w:name="_Toc499016944"/>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80"/>
    </w:p>
    <w:p w:rsidR="00664D3C" w:rsidRPr="00A9253D" w:rsidRDefault="00664D3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1" w:name="_Toc499016945"/>
      <w:r w:rsidRPr="00A9253D">
        <w:rPr>
          <w:rFonts w:ascii="Arial" w:eastAsiaTheme="majorEastAsia" w:hAnsi="Arial" w:cs="Arial"/>
          <w:bCs/>
          <w:i/>
          <w:sz w:val="24"/>
          <w:szCs w:val="24"/>
        </w:rPr>
        <w:t>Dokumentacja niezbędna do przygotowania projektu</w:t>
      </w:r>
      <w:bookmarkEnd w:id="181"/>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2" w:name="_Toc499016946"/>
      <w:r w:rsidRPr="00992E3F">
        <w:rPr>
          <w:rFonts w:ascii="Arial" w:eastAsiaTheme="majorEastAsia" w:hAnsi="Arial" w:cs="Arial"/>
          <w:bCs/>
          <w:i/>
          <w:sz w:val="24"/>
          <w:szCs w:val="24"/>
        </w:rPr>
        <w:t>Pozostałe wydatki kwalifikowalne</w:t>
      </w:r>
      <w:bookmarkEnd w:id="182"/>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C9176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C9176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C9176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C91765">
      <w:pPr>
        <w:keepNext/>
        <w:numPr>
          <w:ilvl w:val="1"/>
          <w:numId w:val="29"/>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C9176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C91765">
      <w:pPr>
        <w:pStyle w:val="Akapitzlist"/>
        <w:numPr>
          <w:ilvl w:val="1"/>
          <w:numId w:val="29"/>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w:t>
      </w:r>
      <w:r w:rsidRPr="00A12D04">
        <w:rPr>
          <w:rFonts w:ascii="Arial" w:eastAsia="Times New Roman" w:hAnsi="Arial" w:cs="Times New Roman"/>
          <w:lang w:eastAsia="pl-PL"/>
        </w:rPr>
        <w:t>;</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C91765">
      <w:pPr>
        <w:pStyle w:val="Akapitzlist"/>
        <w:keepNext/>
        <w:numPr>
          <w:ilvl w:val="1"/>
          <w:numId w:val="29"/>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C91765">
      <w:pPr>
        <w:pStyle w:val="Akapitzlist"/>
        <w:numPr>
          <w:ilvl w:val="0"/>
          <w:numId w:val="77"/>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C91765">
      <w:pPr>
        <w:pStyle w:val="Akapitzlist"/>
        <w:numPr>
          <w:ilvl w:val="0"/>
          <w:numId w:val="77"/>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663413" w:rsidRDefault="00663413" w:rsidP="005E1C2A">
      <w:pPr>
        <w:spacing w:line="360" w:lineRule="auto"/>
        <w:jc w:val="both"/>
        <w:rPr>
          <w:rFonts w:ascii="Arial" w:eastAsia="Calibri" w:hAnsi="Arial" w:cs="Arial"/>
          <w:highlight w:val="yellow"/>
        </w:rPr>
      </w:pPr>
    </w:p>
    <w:p w:rsidR="00663413" w:rsidRPr="005E1C2A" w:rsidRDefault="00663413" w:rsidP="005E1C2A">
      <w:pPr>
        <w:spacing w:line="360" w:lineRule="auto"/>
        <w:jc w:val="both"/>
        <w:rPr>
          <w:rFonts w:ascii="Arial" w:eastAsia="Calibri" w:hAnsi="Arial" w:cs="Arial"/>
          <w:highlight w:val="yellow"/>
        </w:rPr>
      </w:pPr>
    </w:p>
    <w:p w:rsidR="008768A5" w:rsidRDefault="002736AD" w:rsidP="00A33E30">
      <w:pPr>
        <w:keepNext/>
        <w:keepLines/>
        <w:numPr>
          <w:ilvl w:val="1"/>
          <w:numId w:val="51"/>
        </w:numPr>
        <w:spacing w:before="240" w:after="60" w:line="360" w:lineRule="auto"/>
        <w:jc w:val="center"/>
        <w:outlineLvl w:val="1"/>
        <w:rPr>
          <w:rFonts w:ascii="Arial" w:hAnsi="Arial" w:cs="Arial"/>
          <w:i/>
          <w:sz w:val="24"/>
          <w:szCs w:val="24"/>
        </w:rPr>
      </w:pPr>
      <w:bookmarkStart w:id="183" w:name="_Toc499016947"/>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3"/>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10"/>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222CC0" w:rsidRDefault="00222CC0" w:rsidP="002736AD">
      <w:pPr>
        <w:autoSpaceDE w:val="0"/>
        <w:autoSpaceDN w:val="0"/>
        <w:adjustRightInd w:val="0"/>
        <w:spacing w:before="120" w:after="120" w:line="360" w:lineRule="auto"/>
        <w:jc w:val="both"/>
        <w:rPr>
          <w:rFonts w:ascii="Arial" w:eastAsia="Calibri" w:hAnsi="Arial" w:cs="Arial"/>
          <w:b/>
          <w:bCs/>
        </w:rPr>
      </w:pPr>
    </w:p>
    <w:p w:rsidR="00663413" w:rsidRPr="002736AD" w:rsidRDefault="00663413" w:rsidP="002736AD">
      <w:pPr>
        <w:autoSpaceDE w:val="0"/>
        <w:autoSpaceDN w:val="0"/>
        <w:adjustRightInd w:val="0"/>
        <w:spacing w:before="120" w:after="120" w:line="360" w:lineRule="auto"/>
        <w:jc w:val="both"/>
        <w:rPr>
          <w:rFonts w:ascii="Arial" w:eastAsia="Calibri" w:hAnsi="Arial" w:cs="Arial"/>
          <w:b/>
          <w:bCs/>
        </w:rPr>
      </w:pPr>
    </w:p>
    <w:p w:rsidR="00E1293B" w:rsidRPr="00E1293B" w:rsidRDefault="007A1C12" w:rsidP="00C055F7">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84" w:name="_Toc499016948"/>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84"/>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C055F7">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1"/>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w:t>
      </w:r>
      <w:r w:rsidRPr="008B46DA">
        <w:rPr>
          <w:rFonts w:ascii="Arial" w:eastAsia="Calibri" w:hAnsi="Arial" w:cs="Arial"/>
        </w:rPr>
        <w:lastRenderedPageBreak/>
        <w:t>do potrzeb osób niepełnosprawnych, w wysokości nieprzekraczającej łącznie 25% wydatków kwalifikowalnych projektu;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943947">
        <w:rPr>
          <w:rFonts w:ascii="Arial" w:eastAsia="Calibri" w:hAnsi="Arial" w:cs="Arial"/>
          <w:i/>
        </w:rPr>
        <w:t>Wytycznych</w:t>
      </w:r>
      <w:r w:rsidRPr="008B46DA">
        <w:rPr>
          <w:rFonts w:ascii="Arial" w:eastAsia="Calibri" w:hAnsi="Arial" w:cs="Arial"/>
        </w:rPr>
        <w:t>;</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4A5185">
      <w:pPr>
        <w:numPr>
          <w:ilvl w:val="0"/>
          <w:numId w:val="58"/>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4A5185">
      <w:pPr>
        <w:numPr>
          <w:ilvl w:val="0"/>
          <w:numId w:val="58"/>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C91765">
      <w:pPr>
        <w:numPr>
          <w:ilvl w:val="0"/>
          <w:numId w:val="5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C91765">
      <w:pPr>
        <w:numPr>
          <w:ilvl w:val="0"/>
          <w:numId w:val="5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koszty pośrednie rozliczane na podstawie faktycznie poniesionych wydatków w wysokości nieprzekraczającej 5% bezpośrednich kwalifikowalnych kosztów projektu albo </w:t>
      </w:r>
      <w:r w:rsidRPr="008B46DA">
        <w:rPr>
          <w:rFonts w:ascii="Arial" w:eastAsia="Calibri" w:hAnsi="Arial" w:cs="Arial"/>
        </w:rPr>
        <w:lastRenderedPageBreak/>
        <w:t xml:space="preserve">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C91765">
      <w:pPr>
        <w:numPr>
          <w:ilvl w:val="0"/>
          <w:numId w:val="60"/>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8768A5" w:rsidRDefault="007A1C12" w:rsidP="004A5185">
      <w:pPr>
        <w:keepNext/>
        <w:keepLines/>
        <w:numPr>
          <w:ilvl w:val="1"/>
          <w:numId w:val="51"/>
        </w:numPr>
        <w:spacing w:before="240" w:after="60" w:line="360" w:lineRule="auto"/>
        <w:jc w:val="center"/>
        <w:outlineLvl w:val="1"/>
        <w:rPr>
          <w:rFonts w:ascii="Arial" w:hAnsi="Arial" w:cs="Arial"/>
          <w:i/>
          <w:sz w:val="24"/>
          <w:szCs w:val="24"/>
        </w:rPr>
      </w:pPr>
      <w:bookmarkStart w:id="185" w:name="_Toc499016949"/>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85"/>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w:t>
      </w:r>
      <w:r w:rsidRPr="00A9253D">
        <w:rPr>
          <w:rFonts w:ascii="Arial" w:eastAsia="Times New Roman" w:hAnsi="Arial" w:cs="Times New Roman"/>
          <w:lang w:eastAsia="pl-PL"/>
        </w:rPr>
        <w:t>.</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4A518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6" w:name="_Toc434850324"/>
      <w:bookmarkStart w:id="187" w:name="_Toc499016950"/>
      <w:r w:rsidRPr="00A9253D">
        <w:rPr>
          <w:rFonts w:ascii="Arial" w:eastAsiaTheme="majorEastAsia" w:hAnsi="Arial" w:cs="Arial"/>
          <w:bCs/>
          <w:i/>
          <w:sz w:val="24"/>
          <w:szCs w:val="24"/>
        </w:rPr>
        <w:t>Dokumentacja niezbędna do przygotowania projektu</w:t>
      </w:r>
      <w:bookmarkEnd w:id="186"/>
      <w:bookmarkEnd w:id="187"/>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4A518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8" w:name="_Toc499016951"/>
      <w:r w:rsidRPr="007A1C12">
        <w:rPr>
          <w:rFonts w:ascii="Arial" w:eastAsiaTheme="majorEastAsia" w:hAnsi="Arial" w:cs="Arial"/>
          <w:bCs/>
          <w:i/>
          <w:sz w:val="24"/>
          <w:szCs w:val="24"/>
        </w:rPr>
        <w:t>Pozostałe wydatki kwalifikowalne</w:t>
      </w:r>
      <w:bookmarkEnd w:id="188"/>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4A518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4A518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4A518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4A518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C91765">
      <w:pPr>
        <w:numPr>
          <w:ilvl w:val="1"/>
          <w:numId w:val="29"/>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C91765">
      <w:pPr>
        <w:numPr>
          <w:ilvl w:val="2"/>
          <w:numId w:val="29"/>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C91765">
      <w:pPr>
        <w:numPr>
          <w:ilvl w:val="2"/>
          <w:numId w:val="29"/>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C91765">
      <w:pPr>
        <w:numPr>
          <w:ilvl w:val="1"/>
          <w:numId w:val="29"/>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w:t>
      </w:r>
      <w:r w:rsidRPr="00A9253D">
        <w:rPr>
          <w:rFonts w:ascii="Arial" w:hAnsi="Arial" w:cs="Arial"/>
        </w:rPr>
        <w:t>,</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w:t>
      </w:r>
      <w:r w:rsidRPr="00A9253D">
        <w:rPr>
          <w:rFonts w:ascii="Arial" w:hAnsi="Arial" w:cs="Arial"/>
        </w:rPr>
        <w:t>,</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C91765">
      <w:pPr>
        <w:numPr>
          <w:ilvl w:val="1"/>
          <w:numId w:val="47"/>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C91765">
      <w:pPr>
        <w:numPr>
          <w:ilvl w:val="1"/>
          <w:numId w:val="47"/>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C91765">
      <w:pPr>
        <w:numPr>
          <w:ilvl w:val="1"/>
          <w:numId w:val="47"/>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C91765">
      <w:pPr>
        <w:numPr>
          <w:ilvl w:val="1"/>
          <w:numId w:val="29"/>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C91765">
      <w:pPr>
        <w:numPr>
          <w:ilvl w:val="1"/>
          <w:numId w:val="48"/>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C91765">
      <w:pPr>
        <w:numPr>
          <w:ilvl w:val="1"/>
          <w:numId w:val="48"/>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2F0F7D">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89" w:name="_Toc499016952"/>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89"/>
    </w:p>
    <w:p w:rsidR="00492003" w:rsidRPr="00492003" w:rsidRDefault="00492003" w:rsidP="002F0F7D">
      <w:pPr>
        <w:keepNext/>
        <w:numPr>
          <w:ilvl w:val="0"/>
          <w:numId w:val="62"/>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w:t>
      </w:r>
    </w:p>
    <w:p w:rsidR="00492003" w:rsidRPr="00492003" w:rsidRDefault="00492003" w:rsidP="002F0F7D">
      <w:pPr>
        <w:keepNext/>
        <w:numPr>
          <w:ilvl w:val="0"/>
          <w:numId w:val="62"/>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2F0F7D">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90" w:name="_Toc467050319"/>
      <w:bookmarkStart w:id="191" w:name="_Toc499016953"/>
      <w:r w:rsidRPr="00492003">
        <w:rPr>
          <w:rFonts w:ascii="Arial" w:eastAsiaTheme="majorEastAsia" w:hAnsi="Arial" w:cs="Arial"/>
          <w:bCs/>
          <w:i/>
          <w:sz w:val="24"/>
          <w:szCs w:val="24"/>
        </w:rPr>
        <w:t>Dokumentacja niezbędna do przygotowania projektu</w:t>
      </w:r>
      <w:bookmarkEnd w:id="190"/>
      <w:bookmarkEnd w:id="191"/>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2F0F7D">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92" w:name="_Toc467050320"/>
      <w:bookmarkStart w:id="193" w:name="_Toc499016954"/>
      <w:r w:rsidRPr="00492003">
        <w:rPr>
          <w:rFonts w:ascii="Arial" w:eastAsiaTheme="majorEastAsia" w:hAnsi="Arial" w:cs="Arial"/>
          <w:bCs/>
          <w:i/>
          <w:sz w:val="24"/>
          <w:szCs w:val="24"/>
        </w:rPr>
        <w:t>Pozostałe wydatki kwalifikowalne</w:t>
      </w:r>
      <w:bookmarkEnd w:id="192"/>
      <w:bookmarkEnd w:id="193"/>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194" w:name="_Toc499016955"/>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94"/>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E331D9">
        <w:rPr>
          <w:rFonts w:ascii="Arial" w:eastAsia="Times New Roman" w:hAnsi="Arial" w:cs="Arial"/>
          <w:lang w:eastAsia="pl-PL"/>
        </w:rPr>
        <w:t xml:space="preserve"> </w:t>
      </w:r>
      <w:r w:rsidR="00E54B77">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E54B77">
        <w:rPr>
          <w:rFonts w:ascii="Arial" w:eastAsia="Times New Roman" w:hAnsi="Arial" w:cs="Arial"/>
          <w:lang w:eastAsia="pl-PL"/>
        </w:rPr>
        <w:t>, pochodzenia,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E54B77" w:rsidRPr="00B81671" w:rsidRDefault="00E54B77"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E54B77">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95" w:name="_Toc499016956"/>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95"/>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222CC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 xml:space="preserve">Regulacja w zakresie zasady </w:t>
            </w:r>
            <w:r w:rsidR="00222CC0">
              <w:rPr>
                <w:rFonts w:ascii="Arial" w:eastAsia="Times New Roman" w:hAnsi="Arial" w:cs="Times New Roman"/>
                <w:b/>
                <w:bCs/>
                <w:sz w:val="24"/>
                <w:szCs w:val="20"/>
                <w:lang w:eastAsia="pl-PL"/>
              </w:rPr>
              <w:t>konkurencyjności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222CC0">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c>
          <w:tcPr>
            <w:tcW w:w="3969" w:type="dxa"/>
            <w:vAlign w:val="center"/>
          </w:tcPr>
          <w:p w:rsidR="0065055F" w:rsidRPr="00B81671" w:rsidRDefault="0065055F" w:rsidP="00222CC0">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 xml:space="preserve">Wytycznych </w:t>
            </w:r>
          </w:p>
        </w:tc>
        <w:tc>
          <w:tcPr>
            <w:tcW w:w="3827"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c>
          <w:tcPr>
            <w:tcW w:w="3969" w:type="dxa"/>
          </w:tcPr>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222CC0">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222CC0">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121A3A" w:rsidP="00222CC0">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15" w:rsidRDefault="00846915" w:rsidP="00045401">
      <w:pPr>
        <w:spacing w:after="0" w:line="240" w:lineRule="auto"/>
      </w:pPr>
      <w:r>
        <w:separator/>
      </w:r>
    </w:p>
  </w:endnote>
  <w:endnote w:type="continuationSeparator" w:id="0">
    <w:p w:rsidR="00846915" w:rsidRDefault="00846915"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803DD7" w:rsidRDefault="00803DD7">
        <w:pPr>
          <w:pStyle w:val="Stopka"/>
          <w:jc w:val="right"/>
        </w:pPr>
        <w:r>
          <w:fldChar w:fldCharType="begin"/>
        </w:r>
        <w:r>
          <w:instrText>PAGE   \* MERGEFORMAT</w:instrText>
        </w:r>
        <w:r>
          <w:fldChar w:fldCharType="separate"/>
        </w:r>
        <w:r w:rsidR="00D357EA">
          <w:rPr>
            <w:noProof/>
          </w:rPr>
          <w:t>23</w:t>
        </w:r>
        <w:r>
          <w:fldChar w:fldCharType="end"/>
        </w:r>
      </w:p>
    </w:sdtContent>
  </w:sdt>
  <w:p w:rsidR="00803DD7" w:rsidRDefault="00803D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15" w:rsidRDefault="00846915" w:rsidP="00045401">
      <w:pPr>
        <w:spacing w:after="0" w:line="240" w:lineRule="auto"/>
      </w:pPr>
      <w:r>
        <w:separator/>
      </w:r>
    </w:p>
  </w:footnote>
  <w:footnote w:type="continuationSeparator" w:id="0">
    <w:p w:rsidR="00846915" w:rsidRDefault="00846915" w:rsidP="00045401">
      <w:pPr>
        <w:spacing w:after="0" w:line="240" w:lineRule="auto"/>
      </w:pPr>
      <w:r>
        <w:continuationSeparator/>
      </w:r>
    </w:p>
  </w:footnote>
  <w:footnote w:id="1">
    <w:p w:rsidR="00803DD7" w:rsidRPr="000E3E65" w:rsidRDefault="00803DD7"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803DD7" w:rsidRPr="00C55C98" w:rsidRDefault="00803DD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803DD7" w:rsidRPr="00C55C98" w:rsidRDefault="00803DD7"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803DD7" w:rsidRPr="00C55C98" w:rsidRDefault="00803DD7"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803DD7" w:rsidRPr="00250FF7" w:rsidRDefault="00803DD7"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803DD7" w:rsidRPr="00373604" w:rsidRDefault="00803DD7">
      <w:pPr>
        <w:pStyle w:val="Tekstprzypisudolnego"/>
        <w:rPr>
          <w:lang w:val="pl-PL"/>
        </w:rPr>
      </w:pPr>
      <w:r>
        <w:rPr>
          <w:rStyle w:val="Odwoanieprzypisudolnego"/>
        </w:rPr>
        <w:footnoteRef/>
      </w:r>
      <w:r>
        <w:t xml:space="preserve"> </w:t>
      </w:r>
      <w:r w:rsidRPr="00373604">
        <w:rPr>
          <w:rFonts w:ascii="Arial" w:hAnsi="Arial" w:cs="Arial"/>
          <w:sz w:val="16"/>
          <w:szCs w:val="16"/>
          <w:lang w:val="pl-PL"/>
        </w:rPr>
        <w:t>Nie dotyczy osób będących personelem projektu w rozumieniu pkt 18</w:t>
      </w:r>
    </w:p>
  </w:footnote>
  <w:footnote w:id="7">
    <w:p w:rsidR="00803DD7" w:rsidRPr="00CA1CDE" w:rsidRDefault="00803DD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803DD7" w:rsidRPr="00904E68" w:rsidRDefault="00803DD7"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9">
    <w:p w:rsidR="00803DD7" w:rsidRPr="00E54F04" w:rsidRDefault="00803DD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10">
    <w:p w:rsidR="00803DD7" w:rsidRPr="005C410E" w:rsidRDefault="00803DD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803DD7" w:rsidRDefault="00803DD7" w:rsidP="00513FC4">
      <w:pPr>
        <w:pStyle w:val="Tekstprzypisudolnego"/>
      </w:pPr>
    </w:p>
  </w:footnote>
  <w:footnote w:id="11">
    <w:p w:rsidR="00803DD7" w:rsidRPr="005C410E" w:rsidRDefault="00803DD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803DD7" w:rsidRDefault="00803DD7"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E641F16"/>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7">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4">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49B56B8"/>
    <w:multiLevelType w:val="hybridMultilevel"/>
    <w:tmpl w:val="AB60F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8F004A4"/>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A742A4E"/>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A35358"/>
    <w:multiLevelType w:val="hybridMultilevel"/>
    <w:tmpl w:val="35847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659719D9"/>
    <w:multiLevelType w:val="multilevel"/>
    <w:tmpl w:val="848A4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1">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3">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BB060C6"/>
    <w:multiLevelType w:val="multilevel"/>
    <w:tmpl w:val="93A2507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7"/>
  </w:num>
  <w:num w:numId="2">
    <w:abstractNumId w:val="44"/>
  </w:num>
  <w:num w:numId="3">
    <w:abstractNumId w:val="73"/>
  </w:num>
  <w:num w:numId="4">
    <w:abstractNumId w:val="72"/>
  </w:num>
  <w:num w:numId="5">
    <w:abstractNumId w:val="59"/>
  </w:num>
  <w:num w:numId="6">
    <w:abstractNumId w:val="74"/>
  </w:num>
  <w:num w:numId="7">
    <w:abstractNumId w:val="9"/>
  </w:num>
  <w:num w:numId="8">
    <w:abstractNumId w:val="70"/>
  </w:num>
  <w:num w:numId="9">
    <w:abstractNumId w:val="54"/>
  </w:num>
  <w:num w:numId="10">
    <w:abstractNumId w:val="68"/>
  </w:num>
  <w:num w:numId="11">
    <w:abstractNumId w:val="62"/>
  </w:num>
  <w:num w:numId="12">
    <w:abstractNumId w:val="52"/>
  </w:num>
  <w:num w:numId="13">
    <w:abstractNumId w:val="50"/>
  </w:num>
  <w:num w:numId="14">
    <w:abstractNumId w:val="78"/>
  </w:num>
  <w:num w:numId="15">
    <w:abstractNumId w:val="63"/>
  </w:num>
  <w:num w:numId="16">
    <w:abstractNumId w:val="39"/>
  </w:num>
  <w:num w:numId="17">
    <w:abstractNumId w:val="43"/>
  </w:num>
  <w:num w:numId="18">
    <w:abstractNumId w:val="53"/>
  </w:num>
  <w:num w:numId="19">
    <w:abstractNumId w:val="51"/>
  </w:num>
  <w:num w:numId="20">
    <w:abstractNumId w:val="28"/>
  </w:num>
  <w:num w:numId="21">
    <w:abstractNumId w:val="58"/>
  </w:num>
  <w:num w:numId="22">
    <w:abstractNumId w:val="12"/>
  </w:num>
  <w:num w:numId="23">
    <w:abstractNumId w:val="41"/>
  </w:num>
  <w:num w:numId="24">
    <w:abstractNumId w:val="19"/>
  </w:num>
  <w:num w:numId="25">
    <w:abstractNumId w:val="64"/>
  </w:num>
  <w:num w:numId="26">
    <w:abstractNumId w:val="42"/>
  </w:num>
  <w:num w:numId="27">
    <w:abstractNumId w:val="10"/>
  </w:num>
  <w:num w:numId="28">
    <w:abstractNumId w:val="3"/>
  </w:num>
  <w:num w:numId="29">
    <w:abstractNumId w:val="11"/>
  </w:num>
  <w:num w:numId="30">
    <w:abstractNumId w:val="30"/>
  </w:num>
  <w:num w:numId="31">
    <w:abstractNumId w:val="25"/>
  </w:num>
  <w:num w:numId="32">
    <w:abstractNumId w:val="4"/>
  </w:num>
  <w:num w:numId="33">
    <w:abstractNumId w:val="79"/>
  </w:num>
  <w:num w:numId="34">
    <w:abstractNumId w:val="49"/>
  </w:num>
  <w:num w:numId="35">
    <w:abstractNumId w:val="16"/>
  </w:num>
  <w:num w:numId="36">
    <w:abstractNumId w:val="75"/>
  </w:num>
  <w:num w:numId="37">
    <w:abstractNumId w:val="1"/>
  </w:num>
  <w:num w:numId="38">
    <w:abstractNumId w:val="67"/>
  </w:num>
  <w:num w:numId="39">
    <w:abstractNumId w:val="38"/>
  </w:num>
  <w:num w:numId="40">
    <w:abstractNumId w:val="55"/>
  </w:num>
  <w:num w:numId="41">
    <w:abstractNumId w:val="46"/>
  </w:num>
  <w:num w:numId="42">
    <w:abstractNumId w:val="36"/>
  </w:num>
  <w:num w:numId="43">
    <w:abstractNumId w:val="5"/>
  </w:num>
  <w:num w:numId="44">
    <w:abstractNumId w:val="40"/>
  </w:num>
  <w:num w:numId="45">
    <w:abstractNumId w:val="23"/>
  </w:num>
  <w:num w:numId="46">
    <w:abstractNumId w:val="65"/>
  </w:num>
  <w:num w:numId="47">
    <w:abstractNumId w:val="20"/>
  </w:num>
  <w:num w:numId="48">
    <w:abstractNumId w:val="27"/>
  </w:num>
  <w:num w:numId="49">
    <w:abstractNumId w:val="77"/>
  </w:num>
  <w:num w:numId="50">
    <w:abstractNumId w:val="14"/>
  </w:num>
  <w:num w:numId="51">
    <w:abstractNumId w:val="35"/>
  </w:num>
  <w:num w:numId="52">
    <w:abstractNumId w:val="13"/>
  </w:num>
  <w:num w:numId="53">
    <w:abstractNumId w:val="47"/>
  </w:num>
  <w:num w:numId="54">
    <w:abstractNumId w:val="8"/>
  </w:num>
  <w:num w:numId="55">
    <w:abstractNumId w:val="32"/>
  </w:num>
  <w:num w:numId="56">
    <w:abstractNumId w:val="61"/>
  </w:num>
  <w:num w:numId="57">
    <w:abstractNumId w:val="45"/>
  </w:num>
  <w:num w:numId="58">
    <w:abstractNumId w:val="31"/>
  </w:num>
  <w:num w:numId="59">
    <w:abstractNumId w:val="37"/>
  </w:num>
  <w:num w:numId="60">
    <w:abstractNumId w:val="29"/>
  </w:num>
  <w:num w:numId="61">
    <w:abstractNumId w:val="71"/>
  </w:num>
  <w:num w:numId="62">
    <w:abstractNumId w:val="15"/>
  </w:num>
  <w:num w:numId="63">
    <w:abstractNumId w:val="26"/>
  </w:num>
  <w:num w:numId="64">
    <w:abstractNumId w:val="18"/>
  </w:num>
  <w:num w:numId="65">
    <w:abstractNumId w:val="7"/>
  </w:num>
  <w:num w:numId="66">
    <w:abstractNumId w:val="24"/>
  </w:num>
  <w:num w:numId="67">
    <w:abstractNumId w:val="48"/>
  </w:num>
  <w:num w:numId="68">
    <w:abstractNumId w:val="69"/>
  </w:num>
  <w:num w:numId="69">
    <w:abstractNumId w:val="21"/>
  </w:num>
  <w:num w:numId="70">
    <w:abstractNumId w:val="33"/>
  </w:num>
  <w:num w:numId="71">
    <w:abstractNumId w:val="6"/>
  </w:num>
  <w:num w:numId="72">
    <w:abstractNumId w:val="0"/>
  </w:num>
  <w:num w:numId="73">
    <w:abstractNumId w:val="2"/>
  </w:num>
  <w:num w:numId="74">
    <w:abstractNumId w:val="76"/>
  </w:num>
  <w:num w:numId="75">
    <w:abstractNumId w:val="34"/>
  </w:num>
  <w:num w:numId="76">
    <w:abstractNumId w:val="66"/>
  </w:num>
  <w:num w:numId="77">
    <w:abstractNumId w:val="17"/>
  </w:num>
  <w:num w:numId="78">
    <w:abstractNumId w:val="63"/>
  </w:num>
  <w:num w:numId="79">
    <w:abstractNumId w:val="60"/>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73"/>
  </w:num>
  <w:num w:numId="116">
    <w:abstractNumId w:val="73"/>
  </w:num>
  <w:num w:numId="117">
    <w:abstractNumId w:val="2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522A"/>
    <w:rsid w:val="00115D70"/>
    <w:rsid w:val="00116078"/>
    <w:rsid w:val="001163F6"/>
    <w:rsid w:val="0011664B"/>
    <w:rsid w:val="001175BA"/>
    <w:rsid w:val="00117841"/>
    <w:rsid w:val="00120A47"/>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CC0"/>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5FC2"/>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F55"/>
    <w:rsid w:val="002C5156"/>
    <w:rsid w:val="002C5614"/>
    <w:rsid w:val="002C5879"/>
    <w:rsid w:val="002C6384"/>
    <w:rsid w:val="002C6429"/>
    <w:rsid w:val="002C65C8"/>
    <w:rsid w:val="002C6932"/>
    <w:rsid w:val="002C702D"/>
    <w:rsid w:val="002C7424"/>
    <w:rsid w:val="002D057E"/>
    <w:rsid w:val="002D06D3"/>
    <w:rsid w:val="002D0AA9"/>
    <w:rsid w:val="002D1084"/>
    <w:rsid w:val="002D19CB"/>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3604"/>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4C23"/>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9200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579CA"/>
    <w:rsid w:val="00560B66"/>
    <w:rsid w:val="005611CD"/>
    <w:rsid w:val="005611EC"/>
    <w:rsid w:val="00561624"/>
    <w:rsid w:val="0056167D"/>
    <w:rsid w:val="00561753"/>
    <w:rsid w:val="00561A31"/>
    <w:rsid w:val="00562AD4"/>
    <w:rsid w:val="00562ECC"/>
    <w:rsid w:val="00563389"/>
    <w:rsid w:val="00564848"/>
    <w:rsid w:val="00564C04"/>
    <w:rsid w:val="00565443"/>
    <w:rsid w:val="005654B8"/>
    <w:rsid w:val="00565DF9"/>
    <w:rsid w:val="00566036"/>
    <w:rsid w:val="005671F0"/>
    <w:rsid w:val="005673DB"/>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10E"/>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F4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233A"/>
    <w:rsid w:val="006F3069"/>
    <w:rsid w:val="006F54A2"/>
    <w:rsid w:val="006F58D2"/>
    <w:rsid w:val="006F5948"/>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744"/>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6A"/>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2F08"/>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E7E"/>
    <w:rsid w:val="00903FFD"/>
    <w:rsid w:val="009043DA"/>
    <w:rsid w:val="00904B0F"/>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081"/>
    <w:rsid w:val="00B17419"/>
    <w:rsid w:val="00B176BD"/>
    <w:rsid w:val="00B1775E"/>
    <w:rsid w:val="00B17809"/>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AA49-B3FF-4164-88B4-64B7BAE0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14090</Words>
  <Characters>84540</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Magdalena Piotrowska</cp:lastModifiedBy>
  <cp:revision>2</cp:revision>
  <cp:lastPrinted>2017-07-21T12:29:00Z</cp:lastPrinted>
  <dcterms:created xsi:type="dcterms:W3CDTF">2017-12-18T11:28:00Z</dcterms:created>
  <dcterms:modified xsi:type="dcterms:W3CDTF">2017-12-18T11:28:00Z</dcterms:modified>
</cp:coreProperties>
</file>