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14F" w:rsidRPr="00E50002" w:rsidRDefault="005E114F" w:rsidP="00F70AB6">
      <w:pPr>
        <w:spacing w:after="1100" w:line="276" w:lineRule="auto"/>
        <w:jc w:val="left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</w:p>
    <w:p w:rsidR="00491DF8" w:rsidRPr="00E50002" w:rsidRDefault="00122D5A" w:rsidP="00DF4AAE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Kryteria formalne dla </w:t>
      </w:r>
      <w:r w:rsidR="00491DF8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działania 2.</w:t>
      </w:r>
      <w:r w:rsidR="00A43B67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  <w:r w:rsidR="00491DF8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 </w:t>
      </w:r>
      <w:r w:rsidR="00491DF8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br/>
      </w:r>
      <w:r w:rsidR="001D595B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="001D595B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="001D595B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:rsidR="00491DF8" w:rsidRPr="00E50002" w:rsidRDefault="00491DF8" w:rsidP="00DF4AAE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:rsidR="00491DF8" w:rsidRPr="00E50002" w:rsidRDefault="00421052" w:rsidP="00DF4AAE">
      <w:pPr>
        <w:spacing w:after="1100" w:line="276" w:lineRule="auto"/>
        <w:jc w:val="center"/>
        <w:rPr>
          <w:rFonts w:asciiTheme="minorHAnsi" w:hAnsiTheme="minorHAnsi" w:cstheme="minorHAnsi"/>
          <w:i/>
          <w:color w:val="000000" w:themeColor="text1"/>
          <w:szCs w:val="20"/>
        </w:rPr>
      </w:pPr>
      <w:r w:rsidRPr="00E50002">
        <w:rPr>
          <w:rFonts w:asciiTheme="minorHAnsi" w:hAnsiTheme="minorHAnsi" w:cstheme="minorHAnsi"/>
          <w:b/>
          <w:i/>
          <w:sz w:val="36"/>
          <w:szCs w:val="22"/>
        </w:rPr>
        <w:t xml:space="preserve">(tryb </w:t>
      </w:r>
      <w:r w:rsidR="00B06473">
        <w:rPr>
          <w:rFonts w:asciiTheme="minorHAnsi" w:hAnsiTheme="minorHAnsi" w:cstheme="minorHAnsi"/>
          <w:b/>
          <w:i/>
          <w:sz w:val="36"/>
          <w:szCs w:val="22"/>
        </w:rPr>
        <w:t>nadzwyczajny</w:t>
      </w:r>
      <w:r w:rsidRPr="00E50002">
        <w:rPr>
          <w:rFonts w:asciiTheme="minorHAnsi" w:hAnsiTheme="minorHAnsi" w:cstheme="minorHAnsi"/>
          <w:b/>
          <w:i/>
          <w:sz w:val="36"/>
          <w:szCs w:val="22"/>
        </w:rPr>
        <w:t>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B61D14" w:rsidRPr="00E50002" w:rsidTr="607A5B53">
        <w:trPr>
          <w:trHeight w:val="847"/>
          <w:jc w:val="center"/>
        </w:trPr>
        <w:tc>
          <w:tcPr>
            <w:tcW w:w="1598" w:type="pct"/>
          </w:tcPr>
          <w:p w:rsidR="00491DF8" w:rsidRPr="00E50002" w:rsidRDefault="00491DF8" w:rsidP="00F70AB6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:rsidR="00491DF8" w:rsidRPr="00E50002" w:rsidRDefault="00491DF8" w:rsidP="00F70AB6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II. E-administracja i otwarty rząd</w:t>
            </w:r>
          </w:p>
        </w:tc>
      </w:tr>
      <w:tr w:rsidR="00B61D14" w:rsidRPr="00E50002" w:rsidTr="607A5B53">
        <w:trPr>
          <w:trHeight w:val="847"/>
          <w:jc w:val="center"/>
        </w:trPr>
        <w:tc>
          <w:tcPr>
            <w:tcW w:w="1598" w:type="pct"/>
          </w:tcPr>
          <w:p w:rsidR="00491DF8" w:rsidRPr="00F941B5" w:rsidRDefault="00491DF8" w:rsidP="00F70AB6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F941B5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:rsidR="00491DF8" w:rsidRPr="00F941B5" w:rsidRDefault="00491DF8" w:rsidP="00F70AB6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</w:t>
            </w:r>
            <w:r w:rsidR="001D595B"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2.2</w:t>
            </w:r>
            <w:r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1D595B"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1D595B"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1D595B" w:rsidRPr="00F941B5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491DF8" w:rsidRPr="00E50002" w:rsidTr="607A5B53">
        <w:trPr>
          <w:trHeight w:val="1228"/>
          <w:jc w:val="center"/>
        </w:trPr>
        <w:tc>
          <w:tcPr>
            <w:tcW w:w="1598" w:type="pct"/>
          </w:tcPr>
          <w:p w:rsidR="00491DF8" w:rsidRPr="00F941B5" w:rsidRDefault="00491DF8" w:rsidP="00F70AB6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F941B5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:rsidR="00122D5A" w:rsidRPr="00F941B5" w:rsidRDefault="00122D5A" w:rsidP="607A5B53">
            <w:pPr>
              <w:pStyle w:val="Default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F941B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I. przenoszenie gotowych rozwiązań IT między urzędami, </w:t>
            </w:r>
          </w:p>
          <w:p w:rsidR="00491DF8" w:rsidRPr="00F941B5" w:rsidRDefault="00122D5A" w:rsidP="607A5B53">
            <w:pPr>
              <w:spacing w:after="100" w:afterAutospacing="1" w:line="276" w:lineRule="auto"/>
              <w:contextualSpacing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00F941B5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</w:t>
            </w:r>
            <w:r w:rsidR="00DE4FAF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.</w:t>
            </w:r>
          </w:p>
        </w:tc>
      </w:tr>
    </w:tbl>
    <w:p w:rsidR="005E114F" w:rsidRPr="00E50002" w:rsidRDefault="005E114F" w:rsidP="00F70AB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A681E" w:rsidRPr="00E50002" w:rsidRDefault="003A681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3A681E" w:rsidRPr="00E50002" w:rsidRDefault="003A681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3A681E" w:rsidRPr="00E50002" w:rsidRDefault="003A681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806FC9">
        <w:tc>
          <w:tcPr>
            <w:tcW w:w="704" w:type="dxa"/>
            <w:shd w:val="clear" w:color="auto" w:fill="D9D9D9" w:themeFill="background1" w:themeFillShade="D9"/>
          </w:tcPr>
          <w:p w:rsidR="003A681E" w:rsidRPr="00E50002" w:rsidRDefault="003A681E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3A681E" w:rsidRPr="00E50002" w:rsidRDefault="003A681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Pozytywna ocena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3A681E" w:rsidRPr="00E50002" w:rsidRDefault="003A681E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3A681E" w:rsidRPr="00E50002" w:rsidRDefault="003A681E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727204" w:rsidRPr="00E50002" w:rsidRDefault="00727204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727204" w:rsidRPr="00E50002" w:rsidRDefault="004167D1" w:rsidP="008D144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Opinia Komitetu Rady Ministrów ds. Cyfryzacji wydana dla oceni</w:t>
      </w:r>
      <w:r w:rsidR="00F70AB6">
        <w:rPr>
          <w:rFonts w:asciiTheme="minorHAnsi" w:hAnsiTheme="minorHAnsi" w:cstheme="minorHAnsi"/>
          <w:color w:val="000000" w:themeColor="text1"/>
        </w:rPr>
        <w:t>anego projektu jest pozytywna i </w:t>
      </w:r>
      <w:r>
        <w:rPr>
          <w:rFonts w:asciiTheme="minorHAnsi" w:hAnsiTheme="minorHAnsi" w:cstheme="minorHAnsi"/>
          <w:color w:val="000000" w:themeColor="text1"/>
        </w:rPr>
        <w:t>wydana została nie później niż w dniu złożenia wniosku o dofinansowanie</w:t>
      </w:r>
      <w:r w:rsidR="004159DC" w:rsidRPr="004159DC">
        <w:rPr>
          <w:rFonts w:asciiTheme="minorHAnsi" w:hAnsiTheme="minorHAnsi"/>
        </w:rPr>
        <w:t xml:space="preserve"> </w:t>
      </w:r>
      <w:r w:rsidR="004159DC">
        <w:rPr>
          <w:rFonts w:asciiTheme="minorHAnsi" w:hAnsiTheme="minorHAnsi"/>
        </w:rPr>
        <w:t>i nie wcześniej niż 9 miesięcy przed dniem złożenia wniosku o dofinansowanie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733D5E" w:rsidRPr="00E50002" w:rsidRDefault="00733D5E" w:rsidP="00F70AB6">
      <w:pPr>
        <w:jc w:val="left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32882" w:rsidRPr="00E50002" w:rsidRDefault="00F32882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32882" w:rsidRPr="00E50002" w:rsidRDefault="00F32882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32882" w:rsidRPr="00E50002" w:rsidRDefault="00F32882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806FC9">
        <w:tc>
          <w:tcPr>
            <w:tcW w:w="704" w:type="dxa"/>
            <w:shd w:val="clear" w:color="auto" w:fill="D9D9D9" w:themeFill="background1" w:themeFillShade="D9"/>
          </w:tcPr>
          <w:p w:rsidR="00F32882" w:rsidRPr="00E50002" w:rsidRDefault="00F32882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32882" w:rsidRPr="00E50002" w:rsidRDefault="00F32882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wnioskodawcy/partnerów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32882" w:rsidRPr="00E50002" w:rsidRDefault="00F32882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F32882" w:rsidRPr="00E50002" w:rsidRDefault="00F32882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F47079" w:rsidRPr="00E50002" w:rsidRDefault="00F47079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F32882" w:rsidRPr="00E50002" w:rsidRDefault="00F47079" w:rsidP="008D1444">
      <w:pPr>
        <w:spacing w:after="50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Wnioskodawca (i partnerzy – jeśli dotyczy) są podmiotami kwalifikującymi się do wsparcia w ramach działania, zgodnie z Programem Operacyjnym Polska Cyfrowa na lata 2014-2020 oraz Szczegółowym opisem osi priorytetowych Programu Operacyjnego Polska Cyfrowa na lata 2014-2020</w:t>
      </w:r>
      <w:r w:rsidR="00C655B7">
        <w:rPr>
          <w:rStyle w:val="Odwoanieprzypisudolnego"/>
          <w:rFonts w:asciiTheme="minorHAnsi" w:hAnsiTheme="minorHAnsi" w:cstheme="minorHAnsi"/>
          <w:color w:val="000000" w:themeColor="text1"/>
        </w:rPr>
        <w:footnoteReference w:id="2"/>
      </w:r>
      <w:r w:rsidRPr="00E500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806FC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33D5E" w:rsidRPr="00E50002" w:rsidRDefault="00733D5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733D5E" w:rsidRPr="00E50002" w:rsidRDefault="00733D5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733D5E" w:rsidRPr="00E50002" w:rsidRDefault="00733D5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806FC9">
        <w:tc>
          <w:tcPr>
            <w:tcW w:w="704" w:type="dxa"/>
            <w:shd w:val="clear" w:color="auto" w:fill="D9D9D9" w:themeFill="background1" w:themeFillShade="D9"/>
          </w:tcPr>
          <w:p w:rsidR="00733D5E" w:rsidRPr="00E50002" w:rsidRDefault="00733D5E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733D5E" w:rsidRPr="00E50002" w:rsidRDefault="00733D5E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Niepodleganie wykluczeniu z możliwości otrzymania dofinansowania ze środków Unii Europejskiej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733D5E" w:rsidRPr="00E50002" w:rsidRDefault="00733D5E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733D5E" w:rsidRPr="00E50002" w:rsidRDefault="00733D5E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733D5E" w:rsidRPr="00E50002" w:rsidRDefault="00733D5E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733D5E" w:rsidRPr="00E50002" w:rsidRDefault="00733D5E" w:rsidP="008D1444">
      <w:pPr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Wnioskodawca oraz partnerzy (jeśli dotyczy) nie podlegają wykluczeniu z możliwości otrzymania dofinansowania ze środków Unii Europejskiej na podstawie:</w:t>
      </w:r>
    </w:p>
    <w:p w:rsidR="00733D5E" w:rsidRPr="00E50002" w:rsidRDefault="00733D5E" w:rsidP="00ED3EC4">
      <w:pPr>
        <w:pStyle w:val="Akapitzlist"/>
        <w:numPr>
          <w:ilvl w:val="0"/>
          <w:numId w:val="3"/>
        </w:numPr>
        <w:ind w:left="567"/>
        <w:jc w:val="left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art. 207 ust. 4 ustawy z dnia 27 sierpnia 2009 r. o finansach publicznych (</w:t>
      </w:r>
      <w:proofErr w:type="spellStart"/>
      <w:r w:rsidR="00F70B3F">
        <w:rPr>
          <w:rFonts w:asciiTheme="minorHAnsi" w:hAnsiTheme="minorHAnsi" w:cstheme="minorHAnsi"/>
          <w:color w:val="000000" w:themeColor="text1"/>
        </w:rPr>
        <w:t>t.</w:t>
      </w:r>
      <w:r w:rsidR="00F70B3F" w:rsidRPr="00F70B3F">
        <w:rPr>
          <w:rFonts w:asciiTheme="minorHAnsi" w:hAnsiTheme="minorHAnsi" w:cstheme="minorHAnsi"/>
          <w:color w:val="000000" w:themeColor="text1"/>
        </w:rPr>
        <w:t>j</w:t>
      </w:r>
      <w:proofErr w:type="spellEnd"/>
      <w:r w:rsidR="00F70B3F" w:rsidRPr="00F70B3F">
        <w:rPr>
          <w:rFonts w:asciiTheme="minorHAnsi" w:hAnsiTheme="minorHAnsi" w:cstheme="minorHAnsi"/>
          <w:color w:val="000000" w:themeColor="text1"/>
        </w:rPr>
        <w:t>. Dz.U. z 2021 r. poz. 305</w:t>
      </w:r>
      <w:r w:rsidR="00E819F8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E819F8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E819F8">
        <w:rPr>
          <w:rFonts w:asciiTheme="minorHAnsi" w:hAnsiTheme="minorHAnsi" w:cstheme="minorHAnsi"/>
          <w:color w:val="000000" w:themeColor="text1"/>
        </w:rPr>
        <w:t>. zm.</w:t>
      </w:r>
      <w:r w:rsidRPr="00E50002">
        <w:rPr>
          <w:rFonts w:asciiTheme="minorHAnsi" w:hAnsiTheme="minorHAnsi" w:cstheme="minorHAnsi"/>
          <w:color w:val="000000" w:themeColor="text1"/>
        </w:rPr>
        <w:t xml:space="preserve">), </w:t>
      </w:r>
    </w:p>
    <w:p w:rsidR="00733D5E" w:rsidRPr="003F2638" w:rsidRDefault="00733D5E" w:rsidP="00ED11C2">
      <w:pPr>
        <w:pStyle w:val="Akapitzlist"/>
        <w:numPr>
          <w:ilvl w:val="0"/>
          <w:numId w:val="3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art.</w:t>
      </w:r>
      <w:r w:rsidR="00A24B6E" w:rsidRPr="00E50002">
        <w:rPr>
          <w:rFonts w:asciiTheme="minorHAnsi" w:hAnsiTheme="minorHAnsi" w:cstheme="minorHAnsi"/>
          <w:color w:val="000000" w:themeColor="text1"/>
        </w:rPr>
        <w:t xml:space="preserve"> </w:t>
      </w:r>
      <w:r w:rsidRPr="00E50002">
        <w:rPr>
          <w:rFonts w:asciiTheme="minorHAnsi" w:hAnsiTheme="minorHAnsi" w:cstheme="minorHAnsi"/>
          <w:color w:val="000000" w:themeColor="text1"/>
        </w:rPr>
        <w:t xml:space="preserve">12 ust. 1 pkt 1 ustawy z dnia 15 czerwca 2012 r. o skutkach powierzania wykonywania pracy cudzoziemcom przebywającym wbrew przepisom na terytorium Rzeczypospolitej Polskiej </w:t>
      </w:r>
      <w:r w:rsidR="00895163">
        <w:rPr>
          <w:rFonts w:asciiTheme="minorHAnsi" w:hAnsiTheme="minorHAnsi" w:cstheme="minorHAnsi"/>
          <w:color w:val="000000" w:themeColor="text1"/>
        </w:rPr>
        <w:br/>
      </w:r>
      <w:r w:rsidRPr="003F2638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E819F8" w:rsidRPr="003F2638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E819F8" w:rsidRPr="003F2638">
        <w:rPr>
          <w:rFonts w:asciiTheme="minorHAnsi" w:hAnsiTheme="minorHAnsi" w:cstheme="minorHAnsi"/>
          <w:color w:val="000000" w:themeColor="text1"/>
        </w:rPr>
        <w:t xml:space="preserve">. </w:t>
      </w:r>
      <w:r w:rsidRPr="003F2638">
        <w:rPr>
          <w:rFonts w:asciiTheme="minorHAnsi" w:hAnsiTheme="minorHAnsi" w:cstheme="minorHAnsi"/>
          <w:color w:val="000000" w:themeColor="text1"/>
        </w:rPr>
        <w:t xml:space="preserve">Dz.U. </w:t>
      </w:r>
      <w:r w:rsidR="00E819F8">
        <w:rPr>
          <w:rFonts w:asciiTheme="minorHAnsi" w:hAnsiTheme="minorHAnsi" w:cstheme="minorHAnsi"/>
          <w:color w:val="000000" w:themeColor="text1"/>
        </w:rPr>
        <w:t xml:space="preserve">z </w:t>
      </w:r>
      <w:r w:rsidRPr="003F2638">
        <w:rPr>
          <w:rFonts w:asciiTheme="minorHAnsi" w:hAnsiTheme="minorHAnsi" w:cstheme="minorHAnsi"/>
          <w:color w:val="000000" w:themeColor="text1"/>
        </w:rPr>
        <w:t>202</w:t>
      </w:r>
      <w:r w:rsidR="00E819F8">
        <w:rPr>
          <w:rFonts w:asciiTheme="minorHAnsi" w:hAnsiTheme="minorHAnsi" w:cstheme="minorHAnsi"/>
          <w:color w:val="000000" w:themeColor="text1"/>
        </w:rPr>
        <w:t>1</w:t>
      </w:r>
      <w:r w:rsidRPr="003F2638">
        <w:rPr>
          <w:rFonts w:asciiTheme="minorHAnsi" w:hAnsiTheme="minorHAnsi" w:cstheme="minorHAnsi"/>
          <w:color w:val="000000" w:themeColor="text1"/>
        </w:rPr>
        <w:t xml:space="preserve"> r. poz. </w:t>
      </w:r>
      <w:r w:rsidR="00E819F8" w:rsidRPr="00E819F8">
        <w:rPr>
          <w:rFonts w:asciiTheme="minorHAnsi" w:hAnsiTheme="minorHAnsi" w:cstheme="minorHAnsi"/>
          <w:color w:val="000000" w:themeColor="text1"/>
        </w:rPr>
        <w:t>1745</w:t>
      </w:r>
      <w:r w:rsidRPr="003F2638">
        <w:rPr>
          <w:rFonts w:asciiTheme="minorHAnsi" w:hAnsiTheme="minorHAnsi" w:cstheme="minorHAnsi"/>
          <w:color w:val="000000" w:themeColor="text1"/>
        </w:rPr>
        <w:t xml:space="preserve">), </w:t>
      </w:r>
    </w:p>
    <w:p w:rsidR="00733D5E" w:rsidRPr="00E50002" w:rsidRDefault="00733D5E" w:rsidP="00F70AB6">
      <w:pPr>
        <w:pStyle w:val="Akapitzlist"/>
        <w:numPr>
          <w:ilvl w:val="0"/>
          <w:numId w:val="3"/>
        </w:numPr>
        <w:spacing w:after="500"/>
        <w:ind w:left="567" w:hanging="357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art. 9 ust. 1 pkt 2a ustawy z dnia 28 października 2002 r. o odpowiedzialności podmiotów zbiorowych za czyny zabronione pod groźbą kary (</w:t>
      </w:r>
      <w:proofErr w:type="spellStart"/>
      <w:r w:rsidR="00E819F8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E819F8">
        <w:rPr>
          <w:rFonts w:asciiTheme="minorHAnsi" w:hAnsiTheme="minorHAnsi" w:cstheme="minorHAnsi"/>
          <w:color w:val="000000" w:themeColor="text1"/>
        </w:rPr>
        <w:t xml:space="preserve">. </w:t>
      </w:r>
      <w:r w:rsidR="001B3AF4" w:rsidRPr="00733D5E">
        <w:rPr>
          <w:rFonts w:asciiTheme="minorHAnsi" w:hAnsiTheme="minorHAnsi"/>
        </w:rPr>
        <w:t xml:space="preserve">Dz.U. </w:t>
      </w:r>
      <w:r w:rsidR="00E819F8">
        <w:rPr>
          <w:rFonts w:asciiTheme="minorHAnsi" w:hAnsiTheme="minorHAnsi"/>
        </w:rPr>
        <w:t xml:space="preserve">z </w:t>
      </w:r>
      <w:r w:rsidR="001B3AF4" w:rsidRPr="00733D5E">
        <w:rPr>
          <w:rFonts w:asciiTheme="minorHAnsi" w:hAnsiTheme="minorHAnsi"/>
        </w:rPr>
        <w:t>20</w:t>
      </w:r>
      <w:r w:rsidR="001B3AF4">
        <w:rPr>
          <w:rFonts w:asciiTheme="minorHAnsi" w:hAnsiTheme="minorHAnsi"/>
        </w:rPr>
        <w:t>20</w:t>
      </w:r>
      <w:r w:rsidR="001B3AF4" w:rsidRPr="00733D5E">
        <w:rPr>
          <w:rFonts w:asciiTheme="minorHAnsi" w:hAnsiTheme="minorHAnsi"/>
        </w:rPr>
        <w:t xml:space="preserve"> r. poz. </w:t>
      </w:r>
      <w:r w:rsidR="001B3AF4">
        <w:rPr>
          <w:rFonts w:asciiTheme="minorHAnsi" w:hAnsiTheme="minorHAnsi"/>
        </w:rPr>
        <w:t> 358</w:t>
      </w:r>
      <w:r w:rsidR="00E819F8">
        <w:rPr>
          <w:rFonts w:asciiTheme="minorHAnsi" w:hAnsiTheme="minorHAnsi"/>
        </w:rPr>
        <w:t xml:space="preserve"> </w:t>
      </w:r>
      <w:r w:rsidR="00E819F8">
        <w:rPr>
          <w:rFonts w:asciiTheme="minorHAnsi" w:hAnsiTheme="minorHAnsi" w:cstheme="minorHAnsi"/>
          <w:color w:val="000000" w:themeColor="text1"/>
        </w:rPr>
        <w:t xml:space="preserve">z </w:t>
      </w:r>
      <w:proofErr w:type="spellStart"/>
      <w:r w:rsidR="00E819F8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E819F8">
        <w:rPr>
          <w:rFonts w:asciiTheme="minorHAnsi" w:hAnsiTheme="minorHAnsi" w:cstheme="minorHAnsi"/>
          <w:color w:val="000000" w:themeColor="text1"/>
        </w:rPr>
        <w:t>. zm.</w:t>
      </w:r>
      <w:r w:rsidRPr="00E50002">
        <w:rPr>
          <w:rFonts w:asciiTheme="minorHAnsi" w:hAnsiTheme="minorHAnsi" w:cstheme="minorHAnsi"/>
          <w:color w:val="000000" w:themeColor="text1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E50002" w:rsidRDefault="00F11E1B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Miejsce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F11E1B" w:rsidRPr="00E50002" w:rsidRDefault="00F11E1B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F11E1B" w:rsidRPr="00E50002" w:rsidRDefault="00F11E1B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F11E1B" w:rsidRPr="00E50002" w:rsidRDefault="00F11E1B" w:rsidP="008D1444">
      <w:pPr>
        <w:spacing w:after="50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Projekt jest realizowany na terytorium Rzeczypospolitej Polskiej.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E50002" w:rsidRDefault="00F11E1B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Zgodność z okresem kwalifikowania wydatków </w:t>
            </w:r>
            <w:r w:rsidR="00AF16E2"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br/>
            </w: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w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F11E1B" w:rsidRPr="00E50002" w:rsidRDefault="00F11E1B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F11E1B" w:rsidRPr="00E50002" w:rsidRDefault="00F11E1B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F11E1B" w:rsidRPr="00E50002" w:rsidRDefault="004167D1" w:rsidP="008D1444">
      <w:pPr>
        <w:spacing w:after="50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Planowana r</w:t>
      </w:r>
      <w:r w:rsidR="00F11E1B" w:rsidRPr="00E50002">
        <w:rPr>
          <w:rFonts w:asciiTheme="minorHAnsi" w:hAnsiTheme="minorHAnsi" w:cstheme="minorHAnsi"/>
          <w:color w:val="000000" w:themeColor="text1"/>
        </w:rPr>
        <w:t>ealizacja projektu mieści się w ramach czasowych POPC, określonych datami od 1 stycznia 2014 r. do 31 grudnia 2023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D05B2E">
        <w:tc>
          <w:tcPr>
            <w:tcW w:w="704" w:type="dxa"/>
            <w:shd w:val="clear" w:color="auto" w:fill="D9D9D9" w:themeFill="background1" w:themeFillShade="D9"/>
          </w:tcPr>
          <w:p w:rsidR="00F11E1B" w:rsidRPr="00E50002" w:rsidRDefault="00F11E1B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Prawidłowość określenia</w:t>
            </w:r>
            <w:r w:rsidR="004167D1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 kwoty wsparcia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11E1B" w:rsidRPr="00E50002" w:rsidRDefault="00F11E1B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F11E1B" w:rsidRPr="00E50002" w:rsidRDefault="00F11E1B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F11E1B" w:rsidRPr="00E50002" w:rsidRDefault="00F11E1B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F941B5" w:rsidRDefault="00B06473" w:rsidP="008D1444">
      <w:pPr>
        <w:rPr>
          <w:rFonts w:asciiTheme="minorHAnsi" w:hAnsiTheme="minorHAnsi" w:cstheme="minorHAnsi"/>
          <w:color w:val="000000" w:themeColor="text1"/>
        </w:rPr>
      </w:pPr>
      <w:r w:rsidRPr="00B06473">
        <w:rPr>
          <w:rFonts w:asciiTheme="minorHAnsi" w:hAnsiTheme="minorHAnsi" w:cstheme="minorHAnsi"/>
          <w:color w:val="000000" w:themeColor="text1"/>
        </w:rPr>
        <w:t>Wartość projektu oraz wnioskowana kwota dofinansowania są zgodne z załącznikiem nr 10 do SZOOP (</w:t>
      </w:r>
      <w:r w:rsidR="0062614E" w:rsidRPr="0062614E">
        <w:rPr>
          <w:rFonts w:asciiTheme="minorHAnsi" w:hAnsiTheme="minorHAnsi" w:cstheme="minorHAnsi"/>
          <w:color w:val="000000" w:themeColor="text1"/>
        </w:rPr>
        <w:t>Lista</w:t>
      </w:r>
      <w:r w:rsidR="0062614E" w:rsidRPr="0062614E" w:rsidDel="0062614E">
        <w:rPr>
          <w:rFonts w:asciiTheme="minorHAnsi" w:hAnsiTheme="minorHAnsi" w:cstheme="minorHAnsi"/>
          <w:color w:val="000000" w:themeColor="text1"/>
        </w:rPr>
        <w:t xml:space="preserve"> </w:t>
      </w:r>
      <w:r w:rsidRPr="00B06473">
        <w:rPr>
          <w:rFonts w:asciiTheme="minorHAnsi" w:hAnsiTheme="minorHAnsi" w:cstheme="minorHAnsi"/>
          <w:color w:val="000000" w:themeColor="text1"/>
        </w:rPr>
        <w:t xml:space="preserve">projektów zgłoszonych w trybie nadzwyczajnym wprowadzonym w związku z wystąpieniem COVID-19). </w:t>
      </w:r>
    </w:p>
    <w:p w:rsidR="00F70AB6" w:rsidRDefault="00F70AB6" w:rsidP="008D1444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B37A00" w:rsidRPr="00E50002" w:rsidRDefault="00B37A00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B37A00" w:rsidRPr="00E50002" w:rsidRDefault="00B37A00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B37A00" w:rsidRPr="00E50002" w:rsidRDefault="00B37A00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D05B2E">
        <w:tc>
          <w:tcPr>
            <w:tcW w:w="704" w:type="dxa"/>
            <w:shd w:val="clear" w:color="auto" w:fill="D9D9D9" w:themeFill="background1" w:themeFillShade="D9"/>
          </w:tcPr>
          <w:p w:rsidR="00B37A00" w:rsidRPr="00E50002" w:rsidRDefault="00B37A00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B37A00" w:rsidRPr="00E50002" w:rsidRDefault="00B37A00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Kwalifikowalność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B37A00" w:rsidRPr="00E50002" w:rsidRDefault="00B37A00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B37A00" w:rsidRPr="00E50002" w:rsidRDefault="00B37A00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B37A00" w:rsidRPr="00E50002" w:rsidRDefault="00B37A00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B37A00" w:rsidRPr="00E50002" w:rsidRDefault="00F7416E" w:rsidP="008D1444">
      <w:pPr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Z opisu projektu wynika</w:t>
      </w:r>
      <w:r w:rsidR="00B37A00" w:rsidRPr="00E50002">
        <w:rPr>
          <w:rFonts w:asciiTheme="minorHAnsi" w:hAnsiTheme="minorHAnsi" w:cstheme="minorHAnsi"/>
          <w:color w:val="000000" w:themeColor="text1"/>
        </w:rPr>
        <w:t xml:space="preserve">, że projekt może kwalifikować się do wsparcia w danym </w:t>
      </w:r>
      <w:r w:rsidR="008D73A0" w:rsidRPr="00E50002">
        <w:rPr>
          <w:rFonts w:asciiTheme="minorHAnsi" w:hAnsiTheme="minorHAnsi" w:cstheme="minorHAnsi"/>
          <w:color w:val="000000" w:themeColor="text1"/>
        </w:rPr>
        <w:t>naborze</w:t>
      </w:r>
      <w:r w:rsidR="00B37A00" w:rsidRPr="00E50002">
        <w:rPr>
          <w:rFonts w:asciiTheme="minorHAnsi" w:hAnsiTheme="minorHAnsi" w:cstheme="minorHAnsi"/>
          <w:color w:val="000000" w:themeColor="text1"/>
        </w:rPr>
        <w:t>.</w:t>
      </w:r>
    </w:p>
    <w:p w:rsidR="003145DA" w:rsidRPr="00E50002" w:rsidRDefault="003145DA" w:rsidP="00F70AB6">
      <w:pPr>
        <w:jc w:val="left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D05B2E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145DA" w:rsidRPr="00E50002" w:rsidRDefault="003145D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3145DA" w:rsidRPr="00E50002" w:rsidRDefault="003145D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3145DA" w:rsidRPr="00E50002" w:rsidRDefault="003145D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D05B2E">
        <w:tc>
          <w:tcPr>
            <w:tcW w:w="704" w:type="dxa"/>
            <w:shd w:val="clear" w:color="auto" w:fill="D9D9D9" w:themeFill="background1" w:themeFillShade="D9"/>
          </w:tcPr>
          <w:p w:rsidR="003145DA" w:rsidRPr="00E50002" w:rsidRDefault="003145DA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3145DA" w:rsidRPr="00E50002" w:rsidRDefault="003145D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Zgodność z przepisami art. 65 ust. 6 i art. 125 </w:t>
            </w:r>
            <w:r w:rsidR="00AF16E2"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br/>
            </w: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ust. 3 lit. e) i f) Rozporządzenia Parlamentu Europejskiego i Rady (UE) nr 1303/2013 </w:t>
            </w:r>
            <w:r w:rsidR="00AF16E2"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br/>
            </w: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 dnia 17 grudnia 2013 r.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3145DA" w:rsidRPr="00E50002" w:rsidRDefault="003145DA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3145DA" w:rsidRPr="00E50002" w:rsidRDefault="003145DA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3145DA" w:rsidRPr="00E50002" w:rsidRDefault="003145DA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3145DA" w:rsidRPr="00E50002" w:rsidRDefault="003145DA" w:rsidP="008D1444">
      <w:pPr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Wnioskodawca złożył oświadczenie, że:</w:t>
      </w:r>
    </w:p>
    <w:p w:rsidR="003145DA" w:rsidRPr="00E50002" w:rsidRDefault="003145DA" w:rsidP="008D1444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projekt nie został zakończony w rozumieniu art. 65 ust. 6,</w:t>
      </w:r>
    </w:p>
    <w:p w:rsidR="003145DA" w:rsidRPr="00E50002" w:rsidRDefault="003145DA" w:rsidP="008D1444">
      <w:pPr>
        <w:pStyle w:val="Akapitzlist"/>
        <w:numPr>
          <w:ilvl w:val="0"/>
          <w:numId w:val="4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nie rozpoczął realizacji projektu przed dniem złożenia wniosku o dofinansowanie albo że realizując projekt przed dniem złożenia wniosku, przestrzegał obowiązujących przepisów prawa dotyczących danej operacji (art. 125 ust. 3 lit. e),</w:t>
      </w:r>
    </w:p>
    <w:p w:rsidR="00E75EC1" w:rsidRPr="00F70AB6" w:rsidRDefault="003145DA" w:rsidP="008D1444">
      <w:pPr>
        <w:pStyle w:val="Akapitzlist"/>
        <w:numPr>
          <w:ilvl w:val="0"/>
          <w:numId w:val="4"/>
        </w:numPr>
        <w:spacing w:after="500"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167D1" w:rsidRPr="004B71CB" w:rsidTr="004167D1">
        <w:tc>
          <w:tcPr>
            <w:tcW w:w="704" w:type="dxa"/>
            <w:shd w:val="clear" w:color="auto" w:fill="D9D9D9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4167D1" w:rsidRPr="004B71CB" w:rsidTr="004167D1">
        <w:tc>
          <w:tcPr>
            <w:tcW w:w="704" w:type="dxa"/>
            <w:shd w:val="clear" w:color="auto" w:fill="D9D9D9"/>
          </w:tcPr>
          <w:p w:rsidR="004167D1" w:rsidRPr="004B71CB" w:rsidRDefault="004167D1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475C0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zasadą równości szans kobiet i mężczyzn</w:t>
            </w:r>
          </w:p>
        </w:tc>
        <w:tc>
          <w:tcPr>
            <w:tcW w:w="2683" w:type="dxa"/>
            <w:shd w:val="clear" w:color="auto" w:fill="F2F2F2"/>
          </w:tcPr>
          <w:p w:rsidR="004167D1" w:rsidRPr="004B71CB" w:rsidRDefault="004167D1" w:rsidP="00F70AB6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:rsidR="004167D1" w:rsidRPr="004B71CB" w:rsidRDefault="004167D1" w:rsidP="00F70AB6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:rsidR="004167D1" w:rsidRPr="004B71CB" w:rsidRDefault="004167D1" w:rsidP="00F70AB6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:rsidR="004167D1" w:rsidRDefault="004167D1" w:rsidP="0042731C">
      <w:pPr>
        <w:rPr>
          <w:rFonts w:asciiTheme="minorHAnsi" w:hAnsiTheme="minorHAnsi" w:cstheme="minorHAnsi"/>
        </w:rPr>
      </w:pPr>
      <w:r w:rsidRPr="00EA30DF">
        <w:rPr>
          <w:rFonts w:asciiTheme="minorHAnsi" w:hAnsiTheme="minorHAnsi" w:cstheme="minorHAnsi"/>
        </w:rPr>
        <w:t>W ramach kryterium wnioskodawca wykazał i uzasadnił pozytywny wpływ danego projektu w</w:t>
      </w:r>
      <w:r>
        <w:rPr>
          <w:rFonts w:asciiTheme="minorHAnsi" w:hAnsiTheme="minorHAnsi" w:cstheme="minorHAnsi"/>
        </w:rPr>
        <w:t> </w:t>
      </w:r>
      <w:r w:rsidRPr="00EA30DF">
        <w:rPr>
          <w:rFonts w:asciiTheme="minorHAnsi" w:hAnsiTheme="minorHAnsi" w:cstheme="minorHAnsi"/>
        </w:rPr>
        <w:t xml:space="preserve">odniesieniu do zasady równości szans kobiet i mężczyzn (zgodnie z art. 7 Rozporządzenia Parlamentu Europejskiego i Rady (UE) nr 1303/2013 z dnia 17 grudnia 2013 r.). Dopuszczalne jest uznanie neutralności projektu w stosunku do niniejszej zasady przez instytucję dokonującą ocenę projektu. </w:t>
      </w:r>
      <w:r w:rsidR="0062614E">
        <w:rPr>
          <w:rFonts w:asciiTheme="minorHAnsi" w:hAnsiTheme="minorHAnsi" w:cstheme="minorHAnsi"/>
        </w:rPr>
        <w:br/>
      </w:r>
      <w:r w:rsidRPr="00EA30DF">
        <w:rPr>
          <w:rFonts w:asciiTheme="minorHAnsi" w:hAnsiTheme="minorHAnsi" w:cstheme="minorHAnsi"/>
        </w:rPr>
        <w:t>O neutralności można jednak mówić jedynie</w:t>
      </w:r>
      <w:r w:rsidR="0062614E">
        <w:rPr>
          <w:rFonts w:asciiTheme="minorHAnsi" w:hAnsiTheme="minorHAnsi" w:cstheme="minorHAnsi"/>
        </w:rPr>
        <w:t>,</w:t>
      </w:r>
      <w:r w:rsidRPr="00EA30DF">
        <w:rPr>
          <w:rFonts w:asciiTheme="minorHAnsi" w:hAnsiTheme="minorHAnsi" w:cstheme="minorHAnsi"/>
        </w:rPr>
        <w:t xml:space="preserve">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</w:r>
    </w:p>
    <w:p w:rsidR="004167D1" w:rsidRDefault="004167D1" w:rsidP="0042731C">
      <w:pPr>
        <w:spacing w:after="500"/>
        <w:rPr>
          <w:rFonts w:asciiTheme="minorHAnsi" w:hAnsiTheme="minorHAnsi" w:cstheme="minorHAnsi"/>
        </w:rPr>
      </w:pPr>
      <w:r w:rsidRPr="00070A1C">
        <w:rPr>
          <w:rFonts w:asciiTheme="minorHAnsi" w:hAnsiTheme="minorHAnsi" w:cstheme="minorHAnsi"/>
        </w:rPr>
        <w:t>W szczególności weryfikacja dotyczy wymogów określonych w Wytycznych w zakresie realizacji zasady równości szans i niedyskryminacji, w tym dostępności dla osób z niepełnosprawnościami oraz zasady równości szans kobiet  i mężczyzn w ramach funduszy unijnych na lata 2014-2020.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4167D1" w:rsidRPr="004B71CB" w:rsidTr="004167D1">
        <w:tc>
          <w:tcPr>
            <w:tcW w:w="704" w:type="dxa"/>
            <w:shd w:val="clear" w:color="auto" w:fill="D9D9D9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5675" w:type="dxa"/>
            <w:shd w:val="clear" w:color="auto" w:fill="F2F2F2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Nazwa kryterium</w:t>
            </w:r>
          </w:p>
        </w:tc>
        <w:tc>
          <w:tcPr>
            <w:tcW w:w="2683" w:type="dxa"/>
            <w:shd w:val="clear" w:color="auto" w:fill="F2F2F2"/>
            <w:vAlign w:val="center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4B71CB">
              <w:rPr>
                <w:rFonts w:asciiTheme="minorHAnsi" w:hAnsiTheme="minorHAnsi" w:cstheme="minorHAnsi"/>
                <w:b/>
                <w:i/>
              </w:rPr>
              <w:t>Opis znaczenia kryterium</w:t>
            </w:r>
          </w:p>
        </w:tc>
      </w:tr>
      <w:tr w:rsidR="004167D1" w:rsidRPr="004B71CB" w:rsidTr="004167D1">
        <w:tc>
          <w:tcPr>
            <w:tcW w:w="704" w:type="dxa"/>
            <w:shd w:val="clear" w:color="auto" w:fill="D9D9D9"/>
          </w:tcPr>
          <w:p w:rsidR="004167D1" w:rsidRPr="004B71CB" w:rsidRDefault="004167D1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75" w:type="dxa"/>
            <w:shd w:val="clear" w:color="auto" w:fill="F2F2F2"/>
          </w:tcPr>
          <w:p w:rsidR="004167D1" w:rsidRPr="004B71CB" w:rsidRDefault="004167D1" w:rsidP="00F70AB6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B71CB">
              <w:rPr>
                <w:rFonts w:asciiTheme="minorHAnsi" w:hAnsiTheme="minorHAnsi" w:cstheme="minorHAnsi"/>
                <w:b/>
                <w:sz w:val="26"/>
                <w:szCs w:val="26"/>
              </w:rPr>
              <w:t>Zgodność z zasadami zrównoważonego rozwoju</w:t>
            </w:r>
          </w:p>
        </w:tc>
        <w:tc>
          <w:tcPr>
            <w:tcW w:w="2683" w:type="dxa"/>
            <w:shd w:val="clear" w:color="auto" w:fill="F2F2F2"/>
          </w:tcPr>
          <w:p w:rsidR="004167D1" w:rsidRPr="004B71CB" w:rsidRDefault="004167D1" w:rsidP="00F70AB6">
            <w:pPr>
              <w:spacing w:before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</w:rPr>
              <w:t>TAK/NIE</w:t>
            </w:r>
          </w:p>
          <w:p w:rsidR="004167D1" w:rsidRPr="004B71CB" w:rsidRDefault="004167D1" w:rsidP="00F70AB6">
            <w:pPr>
              <w:spacing w:after="120"/>
              <w:jc w:val="left"/>
              <w:rPr>
                <w:rFonts w:asciiTheme="minorHAnsi" w:hAnsiTheme="minorHAnsi" w:cstheme="minorHAnsi"/>
              </w:rPr>
            </w:pPr>
            <w:r w:rsidRPr="004B71CB">
              <w:rPr>
                <w:rFonts w:asciiTheme="minorHAnsi" w:hAnsiTheme="minorHAnsi" w:cstheme="minorHAnsi"/>
                <w:sz w:val="20"/>
              </w:rPr>
              <w:t>(niespełnienie kryterium oznacza odrzucenie wniosku)</w:t>
            </w:r>
          </w:p>
        </w:tc>
      </w:tr>
    </w:tbl>
    <w:p w:rsidR="004167D1" w:rsidRPr="004B71CB" w:rsidRDefault="004167D1" w:rsidP="00F70AB6">
      <w:pPr>
        <w:jc w:val="left"/>
        <w:rPr>
          <w:rFonts w:asciiTheme="minorHAnsi" w:hAnsiTheme="minorHAnsi" w:cstheme="minorHAnsi"/>
          <w:b/>
          <w:i/>
          <w:u w:val="single"/>
        </w:rPr>
      </w:pPr>
      <w:r w:rsidRPr="004B71CB">
        <w:rPr>
          <w:rFonts w:asciiTheme="minorHAnsi" w:hAnsiTheme="minorHAnsi" w:cstheme="minorHAnsi"/>
          <w:b/>
          <w:i/>
          <w:u w:val="single"/>
        </w:rPr>
        <w:t>Definicja kryterium:</w:t>
      </w:r>
    </w:p>
    <w:p w:rsidR="004167D1" w:rsidRDefault="004167D1" w:rsidP="0042731C">
      <w:pPr>
        <w:spacing w:after="500"/>
        <w:rPr>
          <w:rFonts w:asciiTheme="minorHAnsi" w:hAnsiTheme="minorHAnsi" w:cstheme="minorHAnsi"/>
        </w:rPr>
      </w:pPr>
      <w:r w:rsidRPr="004B71CB">
        <w:rPr>
          <w:rFonts w:asciiTheme="minorHAnsi" w:hAnsiTheme="minorHAnsi" w:cstheme="minorHAnsi"/>
        </w:rPr>
        <w:t xml:space="preserve">W ramach kryterium wnioskodawca wykazał i uzasadnił pozytywny lub neutralny wpływ danego projektu w odniesieniu do zasady zrównoważonego rozwoju (w szczególności należy wskazać </w:t>
      </w:r>
      <w:r w:rsidR="00551221">
        <w:rPr>
          <w:rFonts w:asciiTheme="minorHAnsi" w:hAnsiTheme="minorHAnsi" w:cstheme="minorHAnsi"/>
        </w:rPr>
        <w:br/>
      </w:r>
      <w:r w:rsidRPr="004B71CB">
        <w:rPr>
          <w:rFonts w:asciiTheme="minorHAnsi" w:hAnsiTheme="minorHAnsi" w:cstheme="minorHAnsi"/>
        </w:rPr>
        <w:t xml:space="preserve">i uzasadnić, czy projekt będzie wymagał oceny oddziaływania na środowisko zgodnie z przepisami ustawy z dnia 3 października 2008 r. o udostępnianiu informacji o środowisku i jego ochronie, </w:t>
      </w:r>
      <w:r w:rsidR="00551221">
        <w:rPr>
          <w:rFonts w:asciiTheme="minorHAnsi" w:hAnsiTheme="minorHAnsi" w:cstheme="minorHAnsi"/>
        </w:rPr>
        <w:br/>
      </w:r>
      <w:r w:rsidRPr="004B71CB">
        <w:rPr>
          <w:rFonts w:asciiTheme="minorHAnsi" w:hAnsiTheme="minorHAnsi" w:cstheme="minorHAnsi"/>
        </w:rPr>
        <w:t xml:space="preserve">udziale społeczeństwa w ochronie środowiska oraz o ocenach oddziaływania na środowisko - </w:t>
      </w:r>
      <w:proofErr w:type="spellStart"/>
      <w:r w:rsidR="00760BCE">
        <w:rPr>
          <w:rFonts w:asciiTheme="minorHAnsi" w:hAnsiTheme="minorHAnsi" w:cstheme="minorHAnsi"/>
        </w:rPr>
        <w:t>t.j</w:t>
      </w:r>
      <w:proofErr w:type="spellEnd"/>
      <w:r w:rsidR="00760BCE">
        <w:rPr>
          <w:rFonts w:asciiTheme="minorHAnsi" w:hAnsiTheme="minorHAnsi" w:cstheme="minorHAnsi"/>
        </w:rPr>
        <w:t xml:space="preserve">. </w:t>
      </w:r>
      <w:r w:rsidR="00760BCE" w:rsidRPr="00760BCE">
        <w:rPr>
          <w:rFonts w:asciiTheme="minorHAnsi" w:hAnsiTheme="minorHAnsi" w:cstheme="minorHAnsi"/>
        </w:rPr>
        <w:t xml:space="preserve">Dz.U. </w:t>
      </w:r>
      <w:r w:rsidR="00551221">
        <w:rPr>
          <w:rFonts w:asciiTheme="minorHAnsi" w:hAnsiTheme="minorHAnsi" w:cstheme="minorHAnsi"/>
        </w:rPr>
        <w:br/>
      </w:r>
      <w:r w:rsidR="00760BCE" w:rsidRPr="00760BCE">
        <w:rPr>
          <w:rFonts w:asciiTheme="minorHAnsi" w:hAnsiTheme="minorHAnsi" w:cstheme="minorHAnsi"/>
        </w:rPr>
        <w:t xml:space="preserve">z </w:t>
      </w:r>
      <w:r w:rsidR="00FF09A4" w:rsidRPr="00760BCE">
        <w:rPr>
          <w:rFonts w:asciiTheme="minorHAnsi" w:hAnsiTheme="minorHAnsi" w:cstheme="minorHAnsi"/>
        </w:rPr>
        <w:t>202</w:t>
      </w:r>
      <w:r w:rsidR="00FF09A4">
        <w:rPr>
          <w:rFonts w:asciiTheme="minorHAnsi" w:hAnsiTheme="minorHAnsi" w:cstheme="minorHAnsi"/>
        </w:rPr>
        <w:t>2</w:t>
      </w:r>
      <w:r w:rsidR="00FF09A4" w:rsidRPr="00760BCE">
        <w:rPr>
          <w:rFonts w:asciiTheme="minorHAnsi" w:hAnsiTheme="minorHAnsi" w:cstheme="minorHAnsi"/>
        </w:rPr>
        <w:t xml:space="preserve"> </w:t>
      </w:r>
      <w:r w:rsidR="00760BCE" w:rsidRPr="00760BCE">
        <w:rPr>
          <w:rFonts w:asciiTheme="minorHAnsi" w:hAnsiTheme="minorHAnsi" w:cstheme="minorHAnsi"/>
        </w:rPr>
        <w:t xml:space="preserve">r. poz. </w:t>
      </w:r>
      <w:r w:rsidR="00FF09A4" w:rsidRPr="00FF09A4">
        <w:rPr>
          <w:rFonts w:asciiTheme="minorHAnsi" w:hAnsiTheme="minorHAnsi" w:cstheme="minorHAnsi"/>
        </w:rPr>
        <w:t>1029</w:t>
      </w:r>
      <w:r w:rsidRPr="004B71CB">
        <w:rPr>
          <w:rFonts w:asciiTheme="minorHAnsi" w:hAnsiTheme="minorHAnsi" w:cstheme="minorHAnsi"/>
        </w:rPr>
        <w:t>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C02E4A" w:rsidRPr="00E50002" w:rsidTr="6128C21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02E4A" w:rsidRPr="00E50002" w:rsidRDefault="00C02E4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C02E4A" w:rsidRPr="00E50002" w:rsidRDefault="00C02E4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C02E4A" w:rsidRPr="00E50002" w:rsidRDefault="00C02E4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C02E4A" w:rsidRPr="00E50002" w:rsidTr="6128C211">
        <w:tc>
          <w:tcPr>
            <w:tcW w:w="704" w:type="dxa"/>
            <w:shd w:val="clear" w:color="auto" w:fill="D9D9D9" w:themeFill="background1" w:themeFillShade="D9"/>
          </w:tcPr>
          <w:p w:rsidR="00C02E4A" w:rsidRPr="00E50002" w:rsidRDefault="00C02E4A" w:rsidP="00F70AB6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357" w:hanging="357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C02E4A" w:rsidRPr="00E50002" w:rsidRDefault="00C02E4A" w:rsidP="00B06473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Projekt został zidentyfikowany jako projekt </w:t>
            </w:r>
            <w:r w:rsidR="00B06473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nadzwyczajny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C02E4A" w:rsidRPr="00E50002" w:rsidRDefault="00C02E4A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C02E4A" w:rsidRPr="00E50002" w:rsidRDefault="00C02E4A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EB7489" w:rsidRDefault="00121F05" w:rsidP="0032489B">
      <w:pPr>
        <w:jc w:val="left"/>
        <w:rPr>
          <w:rFonts w:asciiTheme="minorHAnsi" w:hAnsiTheme="minorHAnsi" w:cstheme="minorHAnsi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C44D56" w:rsidRPr="00E50002" w:rsidRDefault="00EB7489" w:rsidP="008D1444">
      <w:pPr>
        <w:spacing w:after="160"/>
        <w:rPr>
          <w:rFonts w:asciiTheme="minorHAnsi" w:hAnsiTheme="minorHAnsi" w:cstheme="minorHAnsi"/>
        </w:rPr>
      </w:pPr>
      <w:r w:rsidRPr="008D1444">
        <w:rPr>
          <w:rFonts w:asciiTheme="minorHAnsi" w:hAnsiTheme="minorHAnsi"/>
        </w:rPr>
        <w:t xml:space="preserve">Ocenie podlega czy projekt został zidentyfikowany jako projekt </w:t>
      </w:r>
      <w:r w:rsidR="00B06473" w:rsidRPr="00B06473">
        <w:rPr>
          <w:rFonts w:asciiTheme="minorHAnsi" w:hAnsiTheme="minorHAnsi"/>
        </w:rPr>
        <w:t xml:space="preserve">w trybie nadzwyczajnym wprowadzonym w związku z wystąpieniem COVID-19 </w:t>
      </w:r>
      <w:r w:rsidR="00B06473">
        <w:rPr>
          <w:rFonts w:asciiTheme="minorHAnsi" w:hAnsiTheme="minorHAnsi"/>
        </w:rPr>
        <w:t xml:space="preserve"> i został wyszczególniony w</w:t>
      </w:r>
      <w:r w:rsidR="00B06473" w:rsidRPr="00B06473">
        <w:rPr>
          <w:rFonts w:asciiTheme="minorHAnsi" w:hAnsiTheme="minorHAnsi"/>
        </w:rPr>
        <w:t xml:space="preserve"> załącznik</w:t>
      </w:r>
      <w:r w:rsidR="00B06473">
        <w:rPr>
          <w:rFonts w:asciiTheme="minorHAnsi" w:hAnsiTheme="minorHAnsi"/>
        </w:rPr>
        <w:t>u</w:t>
      </w:r>
      <w:r w:rsidR="00B06473" w:rsidRPr="00B06473">
        <w:rPr>
          <w:rFonts w:asciiTheme="minorHAnsi" w:hAnsiTheme="minorHAnsi"/>
        </w:rPr>
        <w:t xml:space="preserve"> nr 10 do SZOOP.</w:t>
      </w:r>
      <w:r w:rsidR="00C44D56" w:rsidRPr="00E50002">
        <w:rPr>
          <w:rFonts w:asciiTheme="minorHAnsi" w:hAnsiTheme="minorHAnsi" w:cstheme="minorHAnsi"/>
          <w:color w:val="000000" w:themeColor="text1"/>
        </w:rPr>
        <w:br w:type="page"/>
      </w:r>
    </w:p>
    <w:p w:rsidR="00C44D56" w:rsidRPr="00E50002" w:rsidRDefault="00C44D56" w:rsidP="00F70AB6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Kryteria merytoryczne dla działania 2.</w:t>
      </w:r>
      <w:r w:rsidR="00834D6A"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2</w:t>
      </w:r>
    </w:p>
    <w:p w:rsidR="00834D6A" w:rsidRPr="00E50002" w:rsidRDefault="00834D6A" w:rsidP="00F70AB6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Cyfryzacja procesów </w:t>
      </w:r>
      <w:proofErr w:type="spellStart"/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back-office</w:t>
      </w:r>
      <w:proofErr w:type="spellEnd"/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 w administracji rządowej</w:t>
      </w:r>
    </w:p>
    <w:p w:rsidR="00C44D56" w:rsidRPr="00E50002" w:rsidRDefault="00834D6A" w:rsidP="00F70AB6">
      <w:pPr>
        <w:spacing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Programu Operacyjnego Polska Cyfrowa na lata 2014-2020</w:t>
      </w:r>
    </w:p>
    <w:p w:rsidR="00C44D56" w:rsidRPr="00F70AB6" w:rsidRDefault="00421052" w:rsidP="00F70AB6">
      <w:pPr>
        <w:spacing w:after="1100" w:line="276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 xml:space="preserve">(tryb </w:t>
      </w:r>
      <w:r w:rsidR="00B06473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nadzwyczajny</w:t>
      </w:r>
      <w:r w:rsidRPr="00E50002">
        <w:rPr>
          <w:rFonts w:asciiTheme="minorHAnsi" w:hAnsiTheme="minorHAnsi" w:cstheme="minorHAnsi"/>
          <w:b/>
          <w:i/>
          <w:color w:val="000000" w:themeColor="text1"/>
          <w:sz w:val="36"/>
          <w:szCs w:val="22"/>
        </w:rPr>
        <w:t>)</w:t>
      </w:r>
    </w:p>
    <w:tbl>
      <w:tblPr>
        <w:tblW w:w="498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85"/>
        <w:gridCol w:w="6141"/>
      </w:tblGrid>
      <w:tr w:rsidR="00B61D14" w:rsidRPr="00E50002" w:rsidTr="607A5B53">
        <w:trPr>
          <w:trHeight w:val="847"/>
          <w:jc w:val="center"/>
        </w:trPr>
        <w:tc>
          <w:tcPr>
            <w:tcW w:w="1598" w:type="pct"/>
          </w:tcPr>
          <w:p w:rsidR="00C44D56" w:rsidRPr="00E50002" w:rsidRDefault="00C44D56" w:rsidP="00F70AB6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osi priorytetowej:</w:t>
            </w:r>
          </w:p>
        </w:tc>
        <w:tc>
          <w:tcPr>
            <w:tcW w:w="3402" w:type="pct"/>
          </w:tcPr>
          <w:p w:rsidR="00C44D56" w:rsidRPr="00E50002" w:rsidRDefault="00C44D56" w:rsidP="00F70AB6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II. E-administracja i otwarty rząd</w:t>
            </w:r>
          </w:p>
        </w:tc>
      </w:tr>
      <w:tr w:rsidR="00B61D14" w:rsidRPr="00E50002" w:rsidTr="607A5B53">
        <w:trPr>
          <w:trHeight w:val="847"/>
          <w:jc w:val="center"/>
        </w:trPr>
        <w:tc>
          <w:tcPr>
            <w:tcW w:w="1598" w:type="pct"/>
          </w:tcPr>
          <w:p w:rsidR="00C44D56" w:rsidRPr="00E50002" w:rsidRDefault="00C44D56" w:rsidP="00F70AB6">
            <w:pPr>
              <w:suppressAutoHyphens/>
              <w:spacing w:after="240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Numer i nazwa działania/ poddziałania:</w:t>
            </w:r>
          </w:p>
        </w:tc>
        <w:tc>
          <w:tcPr>
            <w:tcW w:w="3402" w:type="pct"/>
          </w:tcPr>
          <w:p w:rsidR="00C44D56" w:rsidRPr="00E50002" w:rsidRDefault="00C44D56" w:rsidP="00F70AB6">
            <w:pPr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2.</w:t>
            </w:r>
            <w:r w:rsidR="00834D6A"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2</w:t>
            </w: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 </w:t>
            </w:r>
            <w:r w:rsidR="00834D6A"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Cyfryzacja procesów </w:t>
            </w:r>
            <w:proofErr w:type="spellStart"/>
            <w:r w:rsidR="00834D6A"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back-office</w:t>
            </w:r>
            <w:proofErr w:type="spellEnd"/>
            <w:r w:rsidR="00834D6A"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 xml:space="preserve"> w administracji rządowej</w:t>
            </w:r>
          </w:p>
        </w:tc>
      </w:tr>
      <w:tr w:rsidR="00C44D56" w:rsidRPr="00E50002" w:rsidTr="607A5B53">
        <w:trPr>
          <w:trHeight w:val="1228"/>
          <w:jc w:val="center"/>
        </w:trPr>
        <w:tc>
          <w:tcPr>
            <w:tcW w:w="1598" w:type="pct"/>
          </w:tcPr>
          <w:p w:rsidR="00C44D56" w:rsidRPr="00F941B5" w:rsidRDefault="00C44D56" w:rsidP="00F70AB6">
            <w:pPr>
              <w:suppressAutoHyphens/>
              <w:spacing w:after="100" w:afterAutospacing="1" w:line="276" w:lineRule="auto"/>
              <w:jc w:val="left"/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</w:pPr>
            <w:r w:rsidRPr="00F941B5">
              <w:rPr>
                <w:rFonts w:asciiTheme="minorHAnsi" w:eastAsia="Calibri" w:hAnsiTheme="minorHAnsi" w:cstheme="minorHAnsi"/>
                <w:b/>
                <w:i/>
                <w:color w:val="000000" w:themeColor="text1"/>
                <w:szCs w:val="22"/>
                <w:lang w:eastAsia="en-US"/>
              </w:rPr>
              <w:t>Typ projektu:</w:t>
            </w:r>
          </w:p>
        </w:tc>
        <w:tc>
          <w:tcPr>
            <w:tcW w:w="3402" w:type="pct"/>
          </w:tcPr>
          <w:p w:rsidR="00122D5A" w:rsidRPr="00F941B5" w:rsidRDefault="00122D5A" w:rsidP="607A5B53">
            <w:pPr>
              <w:pStyle w:val="Default"/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</w:pPr>
            <w:r w:rsidRPr="00F941B5">
              <w:rPr>
                <w:rFonts w:asciiTheme="minorHAnsi" w:eastAsia="Calibri" w:hAnsiTheme="minorHAnsi" w:cstheme="minorBidi"/>
                <w:color w:val="000000" w:themeColor="text1"/>
                <w:sz w:val="22"/>
                <w:szCs w:val="22"/>
              </w:rPr>
              <w:t xml:space="preserve">I.  przenoszenie gotowych rozwiązań IT między urzędami, </w:t>
            </w:r>
          </w:p>
          <w:p w:rsidR="00C44D56" w:rsidRPr="00F941B5" w:rsidRDefault="00122D5A" w:rsidP="607A5B53">
            <w:pPr>
              <w:spacing w:after="100" w:afterAutospacing="1" w:line="276" w:lineRule="auto"/>
              <w:contextualSpacing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00F941B5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II. wdrażanie nowych rozwiązań IT w urzędach, w tym opracowanie i wdrożenie horyzontalnych rozwiązań możliwych do zastosowania w skali całej administracji (wsparcie może dotyczyć również modernizacji istniejącego rozwiązania IT).</w:t>
            </w:r>
            <w:r w:rsidRPr="00F941B5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:rsidR="00C44D56" w:rsidRPr="00E50002" w:rsidRDefault="00C44D56" w:rsidP="00F70AB6">
      <w:pPr>
        <w:spacing w:after="160" w:line="259" w:lineRule="auto"/>
        <w:jc w:val="left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44D56" w:rsidRPr="00E50002" w:rsidRDefault="00C44D56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C44D56" w:rsidRPr="00E50002" w:rsidRDefault="00C44D56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C44D56" w:rsidRPr="00E50002" w:rsidRDefault="00C44D56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526DA9">
        <w:tc>
          <w:tcPr>
            <w:tcW w:w="704" w:type="dxa"/>
            <w:shd w:val="clear" w:color="auto" w:fill="D9D9D9" w:themeFill="background1" w:themeFillShade="D9"/>
          </w:tcPr>
          <w:p w:rsidR="00C44D56" w:rsidRPr="00E50002" w:rsidRDefault="00C44D56" w:rsidP="00F70AB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C44D56" w:rsidRPr="00E50002" w:rsidRDefault="0099202D" w:rsidP="00F70AB6">
            <w:pPr>
              <w:tabs>
                <w:tab w:val="left" w:pos="4584"/>
              </w:tabs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Zgodność zakresu projektu z jego celem i celem programu POPC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C44D56" w:rsidRPr="00E50002" w:rsidRDefault="00C44D56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C44D56" w:rsidRPr="00E50002" w:rsidRDefault="00C44D56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99202D" w:rsidRPr="00E50002" w:rsidRDefault="0099202D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465C36" w:rsidRPr="00E50002" w:rsidRDefault="009642D8" w:rsidP="0042731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Wnioskodawca wykazał, że projekt </w:t>
      </w:r>
      <w:r w:rsidR="00834D6A" w:rsidRPr="00E50002">
        <w:rPr>
          <w:rFonts w:asciiTheme="minorHAnsi" w:hAnsiTheme="minorHAnsi" w:cstheme="minorHAnsi"/>
          <w:color w:val="000000" w:themeColor="text1"/>
        </w:rPr>
        <w:t xml:space="preserve">realizuje jasno określone </w:t>
      </w:r>
      <w:r w:rsidR="00465C36" w:rsidRPr="00E50002">
        <w:rPr>
          <w:rFonts w:asciiTheme="minorHAnsi" w:hAnsiTheme="minorHAnsi" w:cstheme="minorHAnsi"/>
          <w:color w:val="000000" w:themeColor="text1"/>
        </w:rPr>
        <w:t>cele, wyrażone mierzalnymi wskaźnikami</w:t>
      </w:r>
      <w:r>
        <w:rPr>
          <w:rFonts w:asciiTheme="minorHAnsi" w:hAnsiTheme="minorHAnsi" w:cstheme="minorHAnsi"/>
          <w:color w:val="000000" w:themeColor="text1"/>
        </w:rPr>
        <w:t>,</w:t>
      </w:r>
      <w:r w:rsidR="00C655B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poprawnie wybrał </w:t>
      </w:r>
      <w:r w:rsidR="00465C36" w:rsidRPr="00E50002">
        <w:rPr>
          <w:rFonts w:asciiTheme="minorHAnsi" w:hAnsiTheme="minorHAnsi" w:cstheme="minorHAnsi"/>
          <w:color w:val="000000" w:themeColor="text1"/>
        </w:rPr>
        <w:t>typ projektu zgodn</w:t>
      </w:r>
      <w:r>
        <w:rPr>
          <w:rFonts w:asciiTheme="minorHAnsi" w:hAnsiTheme="minorHAnsi" w:cstheme="minorHAnsi"/>
          <w:color w:val="000000" w:themeColor="text1"/>
        </w:rPr>
        <w:t>y</w:t>
      </w:r>
      <w:r w:rsidR="00465C36" w:rsidRPr="00E50002">
        <w:rPr>
          <w:rFonts w:asciiTheme="minorHAnsi" w:hAnsiTheme="minorHAnsi" w:cstheme="minorHAnsi"/>
          <w:color w:val="000000" w:themeColor="text1"/>
        </w:rPr>
        <w:t xml:space="preserve"> z celami POPC oraz zgodn</w:t>
      </w:r>
      <w:r>
        <w:rPr>
          <w:rFonts w:asciiTheme="minorHAnsi" w:hAnsiTheme="minorHAnsi" w:cstheme="minorHAnsi"/>
          <w:color w:val="000000" w:themeColor="text1"/>
        </w:rPr>
        <w:t>y z</w:t>
      </w:r>
      <w:r w:rsidR="00465C36" w:rsidRPr="00E50002">
        <w:rPr>
          <w:rFonts w:asciiTheme="minorHAnsi" w:hAnsiTheme="minorHAnsi" w:cstheme="minorHAnsi"/>
          <w:color w:val="000000" w:themeColor="text1"/>
        </w:rPr>
        <w:t xml:space="preserve"> zakres</w:t>
      </w:r>
      <w:r>
        <w:rPr>
          <w:rFonts w:asciiTheme="minorHAnsi" w:hAnsiTheme="minorHAnsi" w:cstheme="minorHAnsi"/>
          <w:color w:val="000000" w:themeColor="text1"/>
        </w:rPr>
        <w:t>em</w:t>
      </w:r>
      <w:r w:rsidR="00465C36" w:rsidRPr="00E50002">
        <w:rPr>
          <w:rFonts w:asciiTheme="minorHAnsi" w:hAnsiTheme="minorHAnsi" w:cstheme="minorHAnsi"/>
          <w:color w:val="000000" w:themeColor="text1"/>
        </w:rPr>
        <w:t xml:space="preserve"> projektu</w:t>
      </w:r>
      <w:r w:rsidR="002C4904">
        <w:rPr>
          <w:rFonts w:asciiTheme="minorHAnsi" w:hAnsiTheme="minorHAnsi" w:cstheme="minorHAnsi"/>
          <w:color w:val="000000" w:themeColor="text1"/>
        </w:rPr>
        <w:t>,</w:t>
      </w:r>
      <w:r w:rsidR="00465C36" w:rsidRPr="00E5000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tj.:</w:t>
      </w:r>
    </w:p>
    <w:p w:rsidR="00BC6268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yfryzacja procesów </w:t>
      </w:r>
      <w:proofErr w:type="spellStart"/>
      <w:r w:rsidR="00BC6268" w:rsidRPr="00E50002">
        <w:rPr>
          <w:rFonts w:asciiTheme="minorHAnsi" w:hAnsiTheme="minorHAnsi" w:cstheme="minorHAnsi"/>
          <w:color w:val="000000" w:themeColor="text1"/>
        </w:rPr>
        <w:t>back</w:t>
      </w:r>
      <w:r w:rsidR="00D32F16" w:rsidRPr="00E50002">
        <w:rPr>
          <w:rFonts w:asciiTheme="minorHAnsi" w:hAnsiTheme="minorHAnsi" w:cstheme="minorHAnsi"/>
          <w:color w:val="000000" w:themeColor="text1"/>
        </w:rPr>
        <w:t>-</w:t>
      </w:r>
      <w:r w:rsidR="00BC6268" w:rsidRPr="00E50002">
        <w:rPr>
          <w:rFonts w:asciiTheme="minorHAnsi" w:hAnsiTheme="minorHAnsi" w:cstheme="minorHAnsi"/>
          <w:color w:val="000000" w:themeColor="text1"/>
        </w:rPr>
        <w:t>office</w:t>
      </w:r>
      <w:proofErr w:type="spellEnd"/>
      <w:r w:rsidR="00BC6268" w:rsidRPr="00E50002">
        <w:rPr>
          <w:rFonts w:asciiTheme="minorHAnsi" w:hAnsiTheme="minorHAnsi" w:cstheme="minorHAnsi"/>
          <w:color w:val="000000" w:themeColor="text1"/>
        </w:rPr>
        <w:t xml:space="preserve"> objętych projektem przyczynia się do poprawy warunków funkcjonowania przedsiębiorców lub poprawy jakości życia obywateli lub usprawnienia funkcjonowania państwa</w:t>
      </w:r>
      <w:r>
        <w:rPr>
          <w:rFonts w:asciiTheme="minorHAnsi" w:hAnsiTheme="minorHAnsi" w:cstheme="minorHAnsi"/>
          <w:color w:val="000000" w:themeColor="text1"/>
        </w:rPr>
        <w:t>,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 </w:t>
      </w:r>
    </w:p>
    <w:p w:rsidR="00BC6268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rojekt usprawnia funkcjonowanie urzędu w aspektach wskazanych w </w:t>
      </w:r>
      <w:r w:rsidR="00BC6268" w:rsidRPr="00F941B5">
        <w:rPr>
          <w:rFonts w:asciiTheme="minorHAnsi" w:hAnsiTheme="minorHAnsi" w:cstheme="minorHAnsi"/>
          <w:b/>
          <w:color w:val="000000" w:themeColor="text1"/>
        </w:rPr>
        <w:t>Katal</w:t>
      </w:r>
      <w:r w:rsidR="00D32F16" w:rsidRPr="00F941B5">
        <w:rPr>
          <w:rFonts w:asciiTheme="minorHAnsi" w:hAnsiTheme="minorHAnsi" w:cstheme="minorHAnsi"/>
          <w:b/>
          <w:color w:val="000000" w:themeColor="text1"/>
        </w:rPr>
        <w:t>ogu Rekomendacji Cyfrowego Urzędu</w:t>
      </w:r>
      <w:r w:rsidR="00D32F16" w:rsidRPr="00E50002">
        <w:rPr>
          <w:rFonts w:asciiTheme="minorHAnsi" w:hAnsiTheme="minorHAnsi" w:cstheme="minorHAnsi"/>
          <w:color w:val="000000" w:themeColor="text1"/>
        </w:rPr>
        <w:t xml:space="preserve"> o</w:t>
      </w:r>
      <w:r w:rsidR="006B3F8D" w:rsidRPr="00E50002">
        <w:rPr>
          <w:rFonts w:asciiTheme="minorHAnsi" w:hAnsiTheme="minorHAnsi" w:cstheme="minorHAnsi"/>
          <w:color w:val="000000" w:themeColor="text1"/>
        </w:rPr>
        <w:t>pracowanym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 przez </w:t>
      </w:r>
      <w:r w:rsidR="005E6439" w:rsidRPr="00E50002">
        <w:rPr>
          <w:rFonts w:asciiTheme="minorHAnsi" w:hAnsiTheme="minorHAnsi" w:cstheme="minorHAnsi"/>
          <w:color w:val="000000" w:themeColor="text1"/>
        </w:rPr>
        <w:t>m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inistra </w:t>
      </w:r>
      <w:r w:rsidR="005E6439" w:rsidRPr="00E50002">
        <w:rPr>
          <w:rFonts w:asciiTheme="minorHAnsi" w:hAnsiTheme="minorHAnsi" w:cstheme="minorHAnsi"/>
          <w:color w:val="000000" w:themeColor="text1"/>
        </w:rPr>
        <w:t>w</w:t>
      </w:r>
      <w:r w:rsidR="00BC6268" w:rsidRPr="00E50002">
        <w:rPr>
          <w:rFonts w:asciiTheme="minorHAnsi" w:hAnsiTheme="minorHAnsi" w:cstheme="minorHAnsi"/>
          <w:color w:val="000000" w:themeColor="text1"/>
        </w:rPr>
        <w:t xml:space="preserve">łaściwego ds. </w:t>
      </w:r>
      <w:r w:rsidR="005E6439" w:rsidRPr="00E50002">
        <w:rPr>
          <w:rFonts w:asciiTheme="minorHAnsi" w:hAnsiTheme="minorHAnsi" w:cstheme="minorHAnsi"/>
          <w:color w:val="000000" w:themeColor="text1"/>
        </w:rPr>
        <w:t>i</w:t>
      </w:r>
      <w:r w:rsidR="00BC6268" w:rsidRPr="00E50002">
        <w:rPr>
          <w:rFonts w:asciiTheme="minorHAnsi" w:hAnsiTheme="minorHAnsi" w:cstheme="minorHAnsi"/>
          <w:color w:val="000000" w:themeColor="text1"/>
        </w:rPr>
        <w:t>nformatyzacji</w:t>
      </w:r>
      <w:r>
        <w:rPr>
          <w:rFonts w:asciiTheme="minorHAnsi" w:hAnsiTheme="minorHAnsi" w:cstheme="minorHAnsi"/>
          <w:color w:val="000000" w:themeColor="text1"/>
        </w:rPr>
        <w:t>,</w:t>
      </w:r>
    </w:p>
    <w:p w:rsidR="00465C36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465C36" w:rsidRPr="00E50002">
        <w:rPr>
          <w:rFonts w:asciiTheme="minorHAnsi" w:hAnsiTheme="minorHAnsi" w:cstheme="minorHAnsi"/>
          <w:color w:val="000000" w:themeColor="text1"/>
        </w:rPr>
        <w:t>ele projektu wpisują się w działanie 2.</w:t>
      </w:r>
      <w:r w:rsidR="00D32F16" w:rsidRPr="00E50002">
        <w:rPr>
          <w:rFonts w:asciiTheme="minorHAnsi" w:hAnsiTheme="minorHAnsi" w:cstheme="minorHAnsi"/>
          <w:color w:val="000000" w:themeColor="text1"/>
        </w:rPr>
        <w:t xml:space="preserve">2 </w:t>
      </w:r>
      <w:r w:rsidR="00D32F16" w:rsidRPr="00E50002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Cyfryzacja procesów </w:t>
      </w:r>
      <w:proofErr w:type="spellStart"/>
      <w:r w:rsidR="00D32F16" w:rsidRPr="00E50002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>back-office</w:t>
      </w:r>
      <w:proofErr w:type="spellEnd"/>
      <w:r w:rsidR="00D32F16" w:rsidRPr="00E50002">
        <w:rPr>
          <w:rFonts w:asciiTheme="minorHAnsi" w:eastAsia="Calibri" w:hAnsiTheme="minorHAnsi" w:cstheme="minorHAnsi"/>
          <w:color w:val="000000" w:themeColor="text1"/>
          <w:szCs w:val="22"/>
          <w:lang w:eastAsia="en-US"/>
        </w:rPr>
        <w:t xml:space="preserve"> w administracji rządowej</w:t>
      </w:r>
      <w:r w:rsidR="00D32F16" w:rsidRPr="00E50002">
        <w:rPr>
          <w:rFonts w:asciiTheme="minorHAnsi" w:hAnsiTheme="minorHAnsi" w:cstheme="minorHAnsi"/>
          <w:color w:val="000000" w:themeColor="text1"/>
        </w:rPr>
        <w:t xml:space="preserve"> </w:t>
      </w:r>
      <w:r w:rsidR="00756C2F" w:rsidRPr="00E50002">
        <w:rPr>
          <w:rFonts w:asciiTheme="minorHAnsi" w:hAnsiTheme="minorHAnsi" w:cstheme="minorHAnsi"/>
          <w:color w:val="000000" w:themeColor="text1"/>
        </w:rPr>
        <w:t>POPC</w:t>
      </w:r>
      <w:r w:rsidR="002C4904">
        <w:rPr>
          <w:rFonts w:asciiTheme="minorHAnsi" w:hAnsiTheme="minorHAnsi" w:cstheme="minorHAnsi"/>
          <w:color w:val="000000" w:themeColor="text1"/>
        </w:rPr>
        <w:t>,</w:t>
      </w:r>
    </w:p>
    <w:p w:rsidR="00465C36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Bidi"/>
          <w:color w:val="000000" w:themeColor="text1"/>
        </w:rPr>
      </w:pPr>
      <w:r w:rsidRPr="6D824FAC">
        <w:rPr>
          <w:rFonts w:asciiTheme="minorHAnsi" w:hAnsiTheme="minorHAnsi" w:cstheme="minorBidi"/>
          <w:color w:val="000000" w:themeColor="text1"/>
        </w:rPr>
        <w:t>Z</w:t>
      </w:r>
      <w:r w:rsidR="00465C36" w:rsidRPr="6D824FAC">
        <w:rPr>
          <w:rFonts w:asciiTheme="minorHAnsi" w:hAnsiTheme="minorHAnsi" w:cstheme="minorBidi"/>
          <w:color w:val="000000" w:themeColor="text1"/>
        </w:rPr>
        <w:t>akres projektu jest zgodny z celem projektu</w:t>
      </w:r>
      <w:r w:rsidRPr="6D824FAC">
        <w:rPr>
          <w:rFonts w:asciiTheme="minorHAnsi" w:hAnsiTheme="minorHAnsi" w:cstheme="minorBidi"/>
          <w:color w:val="000000" w:themeColor="text1"/>
        </w:rPr>
        <w:t>,</w:t>
      </w:r>
      <w:r w:rsidR="00465C36" w:rsidRPr="6D824FAC">
        <w:rPr>
          <w:rFonts w:asciiTheme="minorHAnsi" w:hAnsiTheme="minorHAnsi" w:cstheme="minorBidi"/>
          <w:color w:val="000000" w:themeColor="text1"/>
        </w:rPr>
        <w:t xml:space="preserve"> </w:t>
      </w:r>
    </w:p>
    <w:p w:rsidR="00B56F8C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Bidi"/>
          <w:color w:val="000000" w:themeColor="text1"/>
        </w:rPr>
      </w:pPr>
      <w:r w:rsidRPr="6D824FAC">
        <w:rPr>
          <w:rFonts w:asciiTheme="minorHAnsi" w:hAnsiTheme="minorHAnsi" w:cstheme="minorBidi"/>
          <w:color w:val="000000" w:themeColor="text1"/>
        </w:rPr>
        <w:t>P</w:t>
      </w:r>
      <w:r w:rsidR="00465C36" w:rsidRPr="6D824FAC">
        <w:rPr>
          <w:rFonts w:asciiTheme="minorHAnsi" w:hAnsiTheme="minorHAnsi" w:cstheme="minorBidi"/>
          <w:color w:val="000000" w:themeColor="text1"/>
        </w:rPr>
        <w:t>rojekt realizuje obligatoryjn</w:t>
      </w:r>
      <w:r w:rsidR="005238C6" w:rsidRPr="6D824FAC">
        <w:rPr>
          <w:rFonts w:asciiTheme="minorHAnsi" w:hAnsiTheme="minorHAnsi" w:cstheme="minorBidi"/>
          <w:color w:val="000000" w:themeColor="text1"/>
        </w:rPr>
        <w:t>y</w:t>
      </w:r>
      <w:r w:rsidR="00465C36" w:rsidRPr="6D824FAC">
        <w:rPr>
          <w:rFonts w:asciiTheme="minorHAnsi" w:hAnsiTheme="minorHAnsi" w:cstheme="minorBidi"/>
          <w:color w:val="000000" w:themeColor="text1"/>
        </w:rPr>
        <w:t xml:space="preserve"> wskaźnik produktu</w:t>
      </w:r>
      <w:r w:rsidRPr="6D824FAC">
        <w:rPr>
          <w:rFonts w:asciiTheme="minorHAnsi" w:hAnsiTheme="minorHAnsi" w:cstheme="minorBidi"/>
          <w:color w:val="000000" w:themeColor="text1"/>
        </w:rPr>
        <w:t>,</w:t>
      </w:r>
      <w:r w:rsidR="00465C36" w:rsidRPr="6D824FAC">
        <w:rPr>
          <w:rFonts w:asciiTheme="minorHAnsi" w:hAnsiTheme="minorHAnsi" w:cstheme="minorBidi"/>
          <w:color w:val="000000" w:themeColor="text1"/>
        </w:rPr>
        <w:t xml:space="preserve"> </w:t>
      </w:r>
    </w:p>
    <w:p w:rsidR="00B56F8C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Bidi"/>
          <w:color w:val="000000" w:themeColor="text1"/>
        </w:rPr>
      </w:pPr>
      <w:r w:rsidRPr="6D824FAC">
        <w:rPr>
          <w:rFonts w:asciiTheme="minorHAnsi" w:hAnsiTheme="minorHAnsi" w:cstheme="minorBidi"/>
          <w:color w:val="000000" w:themeColor="text1"/>
        </w:rPr>
        <w:t>W</w:t>
      </w:r>
      <w:r w:rsidR="00465C36" w:rsidRPr="6D824FAC">
        <w:rPr>
          <w:rFonts w:asciiTheme="minorHAnsi" w:hAnsiTheme="minorHAnsi" w:cstheme="minorBidi"/>
          <w:color w:val="000000" w:themeColor="text1"/>
        </w:rPr>
        <w:t>nioskodawca wybrał wskaźniki produktu odpowiednie do celu, uzasadnił ich dobór oraz ich wartości docelowe</w:t>
      </w:r>
      <w:r w:rsidRPr="6D824FAC">
        <w:rPr>
          <w:rFonts w:asciiTheme="minorHAnsi" w:hAnsiTheme="minorHAnsi" w:cstheme="minorBidi"/>
          <w:color w:val="000000" w:themeColor="text1"/>
        </w:rPr>
        <w:t>,</w:t>
      </w:r>
      <w:r w:rsidR="00465C36" w:rsidRPr="6D824FAC">
        <w:rPr>
          <w:rFonts w:asciiTheme="minorHAnsi" w:hAnsiTheme="minorHAnsi" w:cstheme="minorBidi"/>
          <w:color w:val="000000" w:themeColor="text1"/>
        </w:rPr>
        <w:t xml:space="preserve"> </w:t>
      </w:r>
    </w:p>
    <w:p w:rsidR="00465C36" w:rsidRPr="00E50002" w:rsidRDefault="009642D8" w:rsidP="0042731C">
      <w:pPr>
        <w:pStyle w:val="Akapitzlist"/>
        <w:numPr>
          <w:ilvl w:val="0"/>
          <w:numId w:val="26"/>
        </w:numPr>
        <w:rPr>
          <w:rFonts w:asciiTheme="minorHAnsi" w:hAnsiTheme="minorHAnsi" w:cstheme="minorBidi"/>
          <w:color w:val="000000" w:themeColor="text1"/>
        </w:rPr>
      </w:pPr>
      <w:r w:rsidRPr="6D824FAC">
        <w:rPr>
          <w:rFonts w:asciiTheme="minorHAnsi" w:hAnsiTheme="minorHAnsi" w:cstheme="minorBidi"/>
          <w:color w:val="000000" w:themeColor="text1"/>
        </w:rPr>
        <w:t>W</w:t>
      </w:r>
      <w:r w:rsidR="00465C36" w:rsidRPr="6D824FAC">
        <w:rPr>
          <w:rFonts w:asciiTheme="minorHAnsi" w:hAnsiTheme="minorHAnsi" w:cstheme="minorBidi"/>
          <w:color w:val="000000" w:themeColor="text1"/>
        </w:rPr>
        <w:t>nioskodawca wskazał sposób pomiaru wskaźników</w:t>
      </w:r>
      <w:r w:rsidR="00BF0E93" w:rsidRPr="6D824FAC">
        <w:rPr>
          <w:rFonts w:asciiTheme="minorHAnsi" w:hAnsiTheme="minorHAnsi" w:cstheme="minorBidi"/>
          <w:color w:val="000000" w:themeColor="text1"/>
        </w:rPr>
        <w:t>.</w:t>
      </w:r>
    </w:p>
    <w:p w:rsidR="00501E73" w:rsidRPr="00E50002" w:rsidRDefault="0099202D" w:rsidP="0042731C">
      <w:pPr>
        <w:pStyle w:val="Akapitzlist"/>
        <w:spacing w:after="500"/>
        <w:ind w:left="0"/>
        <w:contextualSpacing w:val="0"/>
        <w:rPr>
          <w:rFonts w:asciiTheme="minorHAnsi" w:hAnsiTheme="minorHAnsi" w:cstheme="minorHAnsi"/>
          <w:color w:val="000000" w:themeColor="text1"/>
        </w:rPr>
      </w:pPr>
      <w:r w:rsidRPr="1707FF0F">
        <w:rPr>
          <w:rFonts w:asciiTheme="minorHAnsi" w:hAnsiTheme="minorHAnsi" w:cstheme="minorBidi"/>
          <w:color w:val="000000" w:themeColor="text1"/>
        </w:rPr>
        <w:t>(</w:t>
      </w:r>
      <w:r w:rsidR="005E4874" w:rsidRPr="1707FF0F">
        <w:rPr>
          <w:rFonts w:asciiTheme="minorHAnsi" w:hAnsiTheme="minorHAnsi" w:cstheme="minorBidi"/>
          <w:color w:val="000000" w:themeColor="text1"/>
        </w:rPr>
        <w:t>p</w:t>
      </w:r>
      <w:r w:rsidRPr="1707FF0F">
        <w:rPr>
          <w:rFonts w:asciiTheme="minorHAnsi" w:hAnsiTheme="minorHAnsi" w:cstheme="minorBidi"/>
          <w:color w:val="000000" w:themeColor="text1"/>
        </w:rPr>
        <w:t xml:space="preserve">rojekt musi </w:t>
      </w:r>
      <w:r w:rsidR="009642D8" w:rsidRPr="1707FF0F">
        <w:rPr>
          <w:rFonts w:asciiTheme="minorHAnsi" w:hAnsiTheme="minorHAnsi" w:cstheme="minorBidi"/>
          <w:color w:val="000000" w:themeColor="text1"/>
        </w:rPr>
        <w:t xml:space="preserve">spełniać wymogi od a) do </w:t>
      </w:r>
      <w:r w:rsidR="00822959">
        <w:rPr>
          <w:rFonts w:asciiTheme="minorHAnsi" w:hAnsiTheme="minorHAnsi" w:cstheme="minorBidi"/>
          <w:color w:val="000000" w:themeColor="text1"/>
        </w:rPr>
        <w:t>g</w:t>
      </w:r>
      <w:r w:rsidR="009642D8" w:rsidRPr="1707FF0F">
        <w:rPr>
          <w:rFonts w:asciiTheme="minorHAnsi" w:hAnsiTheme="minorHAnsi" w:cstheme="minorBidi"/>
          <w:color w:val="000000" w:themeColor="text1"/>
        </w:rPr>
        <w:t>) aby uzyskać pozytywną ocenę</w:t>
      </w:r>
      <w:r w:rsidRPr="1707FF0F">
        <w:rPr>
          <w:rFonts w:asciiTheme="minorHAnsi" w:hAnsiTheme="minorHAnsi" w:cstheme="minorBidi"/>
          <w:color w:val="000000" w:themeColor="text1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67BAB6EF" w:rsidTr="67BAB6EF">
        <w:tc>
          <w:tcPr>
            <w:tcW w:w="704" w:type="dxa"/>
            <w:shd w:val="clear" w:color="auto" w:fill="D9D9D9" w:themeFill="background1" w:themeFillShade="D9"/>
            <w:vAlign w:val="center"/>
          </w:tcPr>
          <w:p w:rsidR="14FFD3E2" w:rsidRDefault="14FFD3E2" w:rsidP="67BAB6EF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67BAB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14FFD3E2" w:rsidRDefault="14FFD3E2" w:rsidP="67BAB6EF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67BAB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14FFD3E2" w:rsidRDefault="14FFD3E2" w:rsidP="67BAB6EF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67BAB6EF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  <w:t>Opis znaczenia kryterium</w:t>
            </w:r>
          </w:p>
        </w:tc>
      </w:tr>
      <w:tr w:rsidR="67BAB6EF" w:rsidTr="67BAB6EF">
        <w:tc>
          <w:tcPr>
            <w:tcW w:w="704" w:type="dxa"/>
            <w:shd w:val="clear" w:color="auto" w:fill="D9D9D9" w:themeFill="background1" w:themeFillShade="D9"/>
          </w:tcPr>
          <w:p w:rsidR="67BAB6EF" w:rsidRDefault="67BAB6EF" w:rsidP="67BAB6EF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189A1C03" w:rsidRDefault="189A1C03">
            <w:r w:rsidRPr="189A1C03"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Uzyskanie praw do korzystania z oprogramowania w sposób zabezpieczający interesy Wnioskodawcy</w:t>
            </w:r>
          </w:p>
          <w:p w:rsidR="1C702BF4" w:rsidRDefault="1C702BF4" w:rsidP="67BAB6EF">
            <w:pPr>
              <w:spacing w:before="120" w:after="120" w:line="276" w:lineRule="auto"/>
              <w:jc w:val="lef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3" w:type="dxa"/>
            <w:shd w:val="clear" w:color="auto" w:fill="F2F2F2" w:themeFill="background1" w:themeFillShade="F2"/>
          </w:tcPr>
          <w:p w:rsidR="14FFD3E2" w:rsidRDefault="14FFD3E2" w:rsidP="67BAB6EF">
            <w:pPr>
              <w:spacing w:before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67BAB6EF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TAK/NIE</w:t>
            </w:r>
          </w:p>
          <w:p w:rsidR="14FFD3E2" w:rsidRDefault="14FFD3E2" w:rsidP="67BAB6EF">
            <w:pPr>
              <w:spacing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  <w:r w:rsidRPr="67BAB6EF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  <w:lang w:eastAsia="en-US"/>
              </w:rPr>
              <w:t>(niespełnienie kryterium oznacza odrzucenie wniosku)</w:t>
            </w:r>
          </w:p>
        </w:tc>
      </w:tr>
    </w:tbl>
    <w:p w:rsidR="67BAB6EF" w:rsidRDefault="67BAB6EF" w:rsidP="01BD1991">
      <w:pPr>
        <w:spacing w:line="257" w:lineRule="auto"/>
        <w:rPr>
          <w:rFonts w:ascii="Calibri" w:eastAsia="Calibri" w:hAnsi="Calibri" w:cs="Calibri"/>
          <w:szCs w:val="22"/>
        </w:rPr>
      </w:pPr>
    </w:p>
    <w:p w:rsidR="33E93F81" w:rsidRDefault="01BD1991" w:rsidP="33E93F81">
      <w:pPr>
        <w:spacing w:line="257" w:lineRule="auto"/>
      </w:pPr>
      <w:r w:rsidRPr="01BD1991">
        <w:rPr>
          <w:rFonts w:ascii="Calibri" w:eastAsia="Calibri" w:hAnsi="Calibri" w:cs="Calibri"/>
          <w:szCs w:val="22"/>
        </w:rPr>
        <w:t>Wnioskodawca</w:t>
      </w:r>
      <w:r w:rsidR="33E93F81" w:rsidRPr="33E93F81">
        <w:rPr>
          <w:rFonts w:ascii="Calibri" w:eastAsia="Calibri" w:hAnsi="Calibri" w:cs="Calibri"/>
          <w:szCs w:val="22"/>
        </w:rPr>
        <w:t xml:space="preserve"> oświadczył, że:</w:t>
      </w:r>
    </w:p>
    <w:p w:rsidR="33E93F81" w:rsidRDefault="33E93F81" w:rsidP="33E93F81">
      <w:pPr>
        <w:pStyle w:val="Akapitzlist"/>
        <w:numPr>
          <w:ilvl w:val="0"/>
          <w:numId w:val="39"/>
        </w:numPr>
        <w:rPr>
          <w:rFonts w:asciiTheme="minorHAnsi" w:eastAsiaTheme="minorEastAsia" w:hAnsiTheme="minorHAnsi" w:cstheme="minorBidi"/>
          <w:szCs w:val="22"/>
        </w:rPr>
      </w:pPr>
      <w:r w:rsidRPr="280141F3">
        <w:rPr>
          <w:rFonts w:asciiTheme="minorHAnsi" w:eastAsiaTheme="minorEastAsia" w:hAnsiTheme="minorHAnsi" w:cstheme="minorBidi"/>
        </w:rPr>
        <w:t xml:space="preserve">Dla oprogramowania, które będzie tworzone bezpośrednio przez Wykonawcę systemu, uzyska wszelkie niezbędne prawa do dysponowania w przyszłości wytworzonym oprogramowaniem i jego dalszym rozwojem, w szczególności poprzez uzyskanie praw majątkowych do kodu źródłowego systemu. </w:t>
      </w:r>
    </w:p>
    <w:p w:rsidR="33E93F81" w:rsidRDefault="33E93F81" w:rsidP="33E93F81">
      <w:pPr>
        <w:pStyle w:val="Akapitzlist"/>
        <w:numPr>
          <w:ilvl w:val="0"/>
          <w:numId w:val="39"/>
        </w:numPr>
        <w:rPr>
          <w:rFonts w:asciiTheme="minorHAnsi" w:eastAsiaTheme="minorEastAsia" w:hAnsiTheme="minorHAnsi" w:cstheme="minorBidi"/>
          <w:szCs w:val="22"/>
        </w:rPr>
      </w:pPr>
      <w:r w:rsidRPr="280141F3">
        <w:rPr>
          <w:rFonts w:asciiTheme="minorHAnsi" w:eastAsiaTheme="minorEastAsia" w:hAnsiTheme="minorHAnsi" w:cstheme="minorBidi"/>
        </w:rPr>
        <w:t>Zapewni sobie prawa majątkowe do wytworzonej dokumentacji projektowej.</w:t>
      </w:r>
    </w:p>
    <w:p w:rsidR="1707FF0F" w:rsidRDefault="1707FF0F" w:rsidP="1707FF0F">
      <w:pPr>
        <w:pStyle w:val="Akapitzlist"/>
        <w:spacing w:after="500"/>
        <w:ind w:left="0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526DA9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D74C9" w:rsidRPr="00E50002" w:rsidRDefault="000D74C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0D74C9" w:rsidRPr="00E50002" w:rsidRDefault="000D74C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0D74C9" w:rsidRPr="00E50002" w:rsidRDefault="000D74C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526DA9">
        <w:tc>
          <w:tcPr>
            <w:tcW w:w="704" w:type="dxa"/>
            <w:shd w:val="clear" w:color="auto" w:fill="D9D9D9" w:themeFill="background1" w:themeFillShade="D9"/>
          </w:tcPr>
          <w:p w:rsidR="000D74C9" w:rsidRPr="00E50002" w:rsidRDefault="000D74C9" w:rsidP="00F70AB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0D74C9" w:rsidRPr="00E50002" w:rsidRDefault="00E34B3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Zgodność projektu z Opisem Projektu Informatycznego przedstawionym </w:t>
            </w:r>
            <w:r w:rsidR="00AF16E2"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br/>
            </w: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i zaakceptowanym przez KRMC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0D74C9" w:rsidRPr="00E50002" w:rsidRDefault="000D74C9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0D74C9" w:rsidRPr="00E50002" w:rsidRDefault="000D74C9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5746E2" w:rsidRPr="00E50002" w:rsidRDefault="005746E2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9642D8" w:rsidRDefault="009642D8" w:rsidP="004273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Zakres projektu jest zgodny</w:t>
      </w:r>
      <w:r w:rsidRPr="00BA64DB">
        <w:rPr>
          <w:rFonts w:asciiTheme="minorHAnsi" w:hAnsiTheme="minorHAnsi" w:cstheme="minorHAnsi"/>
        </w:rPr>
        <w:t xml:space="preserve"> </w:t>
      </w:r>
      <w:r w:rsidRPr="0062265D">
        <w:rPr>
          <w:rFonts w:asciiTheme="minorHAnsi" w:hAnsiTheme="minorHAnsi" w:cstheme="minorHAnsi"/>
        </w:rPr>
        <w:t>z opisem projektu informatycznego przedstawionym do oceny na poziomie KRMC</w:t>
      </w:r>
      <w:r>
        <w:rPr>
          <w:rFonts w:asciiTheme="minorHAnsi" w:hAnsiTheme="minorHAnsi" w:cstheme="minorHAnsi"/>
        </w:rPr>
        <w:t>, tj.:</w:t>
      </w:r>
    </w:p>
    <w:p w:rsidR="009642D8" w:rsidRDefault="009642D8" w:rsidP="0042731C">
      <w:pPr>
        <w:pStyle w:val="Akapitzlist"/>
        <w:numPr>
          <w:ilvl w:val="0"/>
          <w:numId w:val="33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dokonano zmian w koncepcji </w:t>
      </w:r>
      <w:r w:rsidRPr="00F86C6B">
        <w:rPr>
          <w:rFonts w:asciiTheme="minorHAnsi" w:hAnsiTheme="minorHAnsi" w:cstheme="minorHAnsi"/>
        </w:rPr>
        <w:t>realizacji przedsięwzięcia zatwierdzonej przez KRMC</w:t>
      </w:r>
      <w:r>
        <w:rPr>
          <w:rFonts w:asciiTheme="minorHAnsi" w:hAnsiTheme="minorHAnsi" w:cstheme="minorHAnsi"/>
        </w:rPr>
        <w:t>,</w:t>
      </w:r>
    </w:p>
    <w:p w:rsidR="009642D8" w:rsidRDefault="009642D8" w:rsidP="0042731C">
      <w:pPr>
        <w:pStyle w:val="Akapitzlist"/>
        <w:numPr>
          <w:ilvl w:val="0"/>
          <w:numId w:val="33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86C6B">
        <w:rPr>
          <w:rFonts w:asciiTheme="minorHAnsi" w:hAnsiTheme="minorHAnsi" w:cstheme="minorHAnsi"/>
        </w:rPr>
        <w:t>artość projektu wskazana we wniosku</w:t>
      </w:r>
      <w:r>
        <w:rPr>
          <w:rFonts w:asciiTheme="minorHAnsi" w:hAnsiTheme="minorHAnsi" w:cstheme="minorHAnsi"/>
        </w:rPr>
        <w:t xml:space="preserve"> </w:t>
      </w:r>
      <w:r w:rsidRPr="00F86C6B">
        <w:rPr>
          <w:rFonts w:asciiTheme="minorHAnsi" w:hAnsiTheme="minorHAnsi" w:cstheme="minorHAnsi"/>
        </w:rPr>
        <w:t xml:space="preserve">o dofinansowanie z POPC </w:t>
      </w:r>
      <w:r>
        <w:rPr>
          <w:rFonts w:asciiTheme="minorHAnsi" w:hAnsiTheme="minorHAnsi" w:cstheme="minorHAnsi"/>
        </w:rPr>
        <w:t>jest</w:t>
      </w:r>
      <w:r w:rsidRPr="00F86C6B">
        <w:rPr>
          <w:rFonts w:asciiTheme="minorHAnsi" w:hAnsiTheme="minorHAnsi" w:cstheme="minorHAnsi"/>
        </w:rPr>
        <w:t xml:space="preserve"> w przybliżeniu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F86C6B">
        <w:rPr>
          <w:rFonts w:asciiTheme="minorHAnsi" w:hAnsiTheme="minorHAnsi" w:cstheme="minorHAnsi"/>
        </w:rPr>
        <w:t xml:space="preserve"> zgodn</w:t>
      </w:r>
      <w:r>
        <w:rPr>
          <w:rFonts w:asciiTheme="minorHAnsi" w:hAnsiTheme="minorHAnsi" w:cstheme="minorHAnsi"/>
        </w:rPr>
        <w:t>a z tą zaakceptowaną przez KRMC,</w:t>
      </w:r>
    </w:p>
    <w:p w:rsidR="009642D8" w:rsidRPr="005A3F46" w:rsidRDefault="009642D8" w:rsidP="607A5B53">
      <w:pPr>
        <w:pStyle w:val="Akapitzlist"/>
        <w:numPr>
          <w:ilvl w:val="0"/>
          <w:numId w:val="33"/>
        </w:numPr>
        <w:ind w:left="567"/>
        <w:rPr>
          <w:rFonts w:asciiTheme="minorHAnsi" w:hAnsiTheme="minorHAnsi" w:cstheme="minorBidi"/>
        </w:rPr>
      </w:pPr>
      <w:r w:rsidRPr="607A5B53">
        <w:rPr>
          <w:rFonts w:asciiTheme="minorHAnsi" w:hAnsiTheme="minorHAnsi" w:cstheme="minorBidi"/>
        </w:rPr>
        <w:t>zmiany dotyczące sposobu wdrażania projektu w stosunku do określonych w opisie projektu informatycznego są dopuszczalne pod warunkiem utrzymania zaplanowanych efektów projektu w niezmienionej formie (dotyczy zarówno ilości, jak i jakości produktów).</w:t>
      </w:r>
    </w:p>
    <w:p w:rsidR="607A5B53" w:rsidRDefault="607A5B53" w:rsidP="00F941B5">
      <w:pPr>
        <w:rPr>
          <w:rFonts w:asciiTheme="minorHAnsi" w:hAnsiTheme="minorHAnsi" w:cstheme="minorBidi"/>
        </w:rPr>
      </w:pPr>
    </w:p>
    <w:p w:rsidR="009642D8" w:rsidRDefault="009642D8" w:rsidP="0042731C">
      <w:pPr>
        <w:pStyle w:val="Tekstprzypisudolnego"/>
        <w:spacing w:line="360" w:lineRule="auto"/>
        <w:ind w:left="372" w:firstLine="195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Zmiany te mogą dotyczyć:</w:t>
      </w:r>
    </w:p>
    <w:p w:rsidR="009642D8" w:rsidRDefault="009642D8" w:rsidP="0042731C">
      <w:pPr>
        <w:pStyle w:val="Tekstprzypisudolnego"/>
        <w:numPr>
          <w:ilvl w:val="0"/>
          <w:numId w:val="3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harmonogramie projektu wynikających z przebiegu procedur wyboru projektów do dofinansowania;</w:t>
      </w:r>
    </w:p>
    <w:p w:rsidR="009642D8" w:rsidRDefault="009642D8" w:rsidP="0042731C">
      <w:pPr>
        <w:pStyle w:val="Tekstprzypisudolnego"/>
        <w:numPr>
          <w:ilvl w:val="0"/>
          <w:numId w:val="3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</w:t>
      </w:r>
      <w:r>
        <w:rPr>
          <w:rFonts w:asciiTheme="minorHAnsi" w:hAnsiTheme="minorHAnsi" w:cstheme="minorHAnsi"/>
          <w:sz w:val="22"/>
          <w:szCs w:val="24"/>
        </w:rPr>
        <w:t>an podmiotów uczestnicząc</w:t>
      </w:r>
      <w:r w:rsidRPr="00BA64DB">
        <w:rPr>
          <w:rFonts w:asciiTheme="minorHAnsi" w:hAnsiTheme="minorHAnsi" w:cstheme="minorHAnsi"/>
          <w:sz w:val="22"/>
          <w:szCs w:val="24"/>
        </w:rPr>
        <w:t>ych w projekcie (partnerów), jak i struktury zespołu projekto</w:t>
      </w:r>
      <w:r>
        <w:rPr>
          <w:rFonts w:asciiTheme="minorHAnsi" w:hAnsiTheme="minorHAnsi" w:cstheme="minorHAnsi"/>
          <w:sz w:val="22"/>
          <w:szCs w:val="24"/>
        </w:rPr>
        <w:t>wego, podziału zadań, wskazania</w:t>
      </w:r>
      <w:r w:rsidRPr="00BA64DB">
        <w:rPr>
          <w:rFonts w:asciiTheme="minorHAnsi" w:hAnsiTheme="minorHAnsi" w:cstheme="minorHAnsi"/>
          <w:sz w:val="22"/>
          <w:szCs w:val="24"/>
        </w:rPr>
        <w:t xml:space="preserve"> ról w projekcie, itp.</w:t>
      </w:r>
      <w:r>
        <w:rPr>
          <w:rFonts w:asciiTheme="minorHAnsi" w:hAnsiTheme="minorHAnsi" w:cstheme="minorHAnsi"/>
          <w:sz w:val="22"/>
          <w:szCs w:val="24"/>
        </w:rPr>
        <w:t>;</w:t>
      </w:r>
    </w:p>
    <w:p w:rsidR="009642D8" w:rsidRDefault="009642D8" w:rsidP="0042731C">
      <w:pPr>
        <w:pStyle w:val="Tekstprzypisudolnego"/>
        <w:numPr>
          <w:ilvl w:val="0"/>
          <w:numId w:val="3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 w:rsidRPr="00BA64DB">
        <w:rPr>
          <w:rFonts w:asciiTheme="minorHAnsi" w:hAnsiTheme="minorHAnsi" w:cstheme="minorHAnsi"/>
          <w:sz w:val="22"/>
          <w:szCs w:val="24"/>
        </w:rPr>
        <w:t>zmian w budżecie polegających na doprecyzowaniu kategorii wydatków i ich uszczegółowieniu poprzez dekompozycję zagregowanych pozycji kosztowych oraz modyfikacji niewpływających na zaplanowane efekty projektu np. wynikające z</w:t>
      </w:r>
      <w:r>
        <w:rPr>
          <w:rFonts w:asciiTheme="minorHAnsi" w:hAnsiTheme="minorHAnsi" w:cstheme="minorHAnsi"/>
          <w:sz w:val="22"/>
          <w:szCs w:val="24"/>
        </w:rPr>
        <w:t>e</w:t>
      </w:r>
      <w:r w:rsidRPr="00BA64DB">
        <w:rPr>
          <w:rFonts w:asciiTheme="minorHAnsi" w:hAnsiTheme="minorHAnsi" w:cstheme="minorHAnsi"/>
          <w:sz w:val="22"/>
          <w:szCs w:val="24"/>
        </w:rPr>
        <w:t xml:space="preserve"> zmian szacunków kosztów, racjonalizacji kosztów, itp.;</w:t>
      </w:r>
    </w:p>
    <w:p w:rsidR="009642D8" w:rsidRDefault="009642D8" w:rsidP="0042731C">
      <w:pPr>
        <w:pStyle w:val="Tekstprzypisudolnego"/>
        <w:numPr>
          <w:ilvl w:val="0"/>
          <w:numId w:val="34"/>
        </w:numPr>
        <w:spacing w:line="360" w:lineRule="auto"/>
        <w:ind w:left="851" w:hanging="284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modyfikacji wynikając</w:t>
      </w:r>
      <w:r w:rsidRPr="00BA64DB">
        <w:rPr>
          <w:rFonts w:asciiTheme="minorHAnsi" w:hAnsiTheme="minorHAnsi" w:cstheme="minorHAnsi"/>
          <w:sz w:val="22"/>
          <w:szCs w:val="24"/>
        </w:rPr>
        <w:t>ych z błędów formalnych, np. zmiana w procencie dofinansowania UE;</w:t>
      </w:r>
    </w:p>
    <w:p w:rsidR="009642D8" w:rsidRPr="00FF32A0" w:rsidRDefault="009642D8" w:rsidP="0042731C">
      <w:pPr>
        <w:pStyle w:val="Tekstprzypisudolnego"/>
        <w:numPr>
          <w:ilvl w:val="0"/>
          <w:numId w:val="34"/>
        </w:numPr>
        <w:spacing w:line="360" w:lineRule="auto"/>
        <w:ind w:left="851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4"/>
        </w:rPr>
        <w:t>zmian związan</w:t>
      </w:r>
      <w:r w:rsidRPr="00BA64DB">
        <w:rPr>
          <w:rFonts w:asciiTheme="minorHAnsi" w:hAnsiTheme="minorHAnsi" w:cstheme="minorHAnsi"/>
          <w:sz w:val="22"/>
          <w:szCs w:val="24"/>
        </w:rPr>
        <w:t>ych z wprowadzeniem rekomend</w:t>
      </w:r>
      <w:r>
        <w:rPr>
          <w:rFonts w:asciiTheme="minorHAnsi" w:hAnsiTheme="minorHAnsi" w:cstheme="minorHAnsi"/>
          <w:sz w:val="22"/>
          <w:szCs w:val="24"/>
        </w:rPr>
        <w:t>acji wskazanych przez Komisję Oceny P</w:t>
      </w:r>
      <w:r w:rsidRPr="00BA64DB">
        <w:rPr>
          <w:rFonts w:asciiTheme="minorHAnsi" w:hAnsiTheme="minorHAnsi" w:cstheme="minorHAnsi"/>
          <w:sz w:val="22"/>
          <w:szCs w:val="24"/>
        </w:rPr>
        <w:t xml:space="preserve">rojektów zmierzających do zmiany struktury wydatków, bądź usunięcia kosztów niekwalifikowanych w zakresie tolerancji przypisanych do danego </w:t>
      </w:r>
      <w:r w:rsidR="005E4874">
        <w:rPr>
          <w:rFonts w:asciiTheme="minorHAnsi" w:hAnsiTheme="minorHAnsi" w:cstheme="minorHAnsi"/>
          <w:sz w:val="22"/>
          <w:szCs w:val="24"/>
        </w:rPr>
        <w:t>naboru</w:t>
      </w:r>
      <w:r w:rsidRPr="00BA64DB">
        <w:rPr>
          <w:rFonts w:asciiTheme="minorHAnsi" w:hAnsiTheme="minorHAnsi" w:cstheme="minorHAnsi"/>
          <w:sz w:val="22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5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C71C16" w:rsidRPr="00E50002" w:rsidTr="00C71C16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C71C16" w:rsidRPr="00E50002" w:rsidRDefault="00C71C16" w:rsidP="00C71C1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C71C16" w:rsidRPr="00E50002" w:rsidRDefault="00C71C16" w:rsidP="00C71C1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C71C16" w:rsidRPr="00E50002" w:rsidRDefault="00C71C16" w:rsidP="00C71C1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C71C16" w:rsidRPr="00E50002" w:rsidTr="00C71C16">
        <w:tc>
          <w:tcPr>
            <w:tcW w:w="704" w:type="dxa"/>
            <w:shd w:val="clear" w:color="auto" w:fill="D9D9D9" w:themeFill="background1" w:themeFillShade="D9"/>
          </w:tcPr>
          <w:p w:rsidR="00C71C16" w:rsidRPr="00E50002" w:rsidRDefault="00C71C16" w:rsidP="00C71C1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C71C16" w:rsidRPr="00E50002" w:rsidRDefault="00C71C16" w:rsidP="00C71C1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Prawidłowość wyboru partnerów (jeśli dotyczy)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C71C16" w:rsidRPr="00E50002" w:rsidRDefault="00C71C16" w:rsidP="00C71C1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C71C16" w:rsidRPr="00E50002" w:rsidRDefault="00C71C16" w:rsidP="00C71C1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C71C16" w:rsidRDefault="00C71C16" w:rsidP="6128C211">
      <w:pPr>
        <w:pStyle w:val="Akapitzlist"/>
        <w:spacing w:after="500"/>
        <w:ind w:left="0"/>
        <w:rPr>
          <w:rFonts w:asciiTheme="minorHAnsi" w:hAnsiTheme="minorHAnsi" w:cstheme="minorBid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 xml:space="preserve"> </w:t>
      </w:r>
      <w:r w:rsidR="00D12F0D" w:rsidRPr="6128C211">
        <w:rPr>
          <w:rFonts w:asciiTheme="minorHAnsi" w:hAnsiTheme="minorHAnsi" w:cstheme="minorBidi"/>
          <w:color w:val="000000" w:themeColor="text1"/>
        </w:rPr>
        <w:t>(projekt musi uzyskać pozytywną ocenę we wszystkich aspektach)</w:t>
      </w:r>
    </w:p>
    <w:p w:rsidR="00F71B6F" w:rsidRPr="00E50002" w:rsidRDefault="00F71B6F" w:rsidP="00F70AB6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F71B6F" w:rsidRPr="00E50002" w:rsidRDefault="00F71B6F" w:rsidP="004273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 ramach kryterium badan</w:t>
      </w:r>
      <w:r w:rsidR="00BE60CB" w:rsidRPr="00E50002">
        <w:rPr>
          <w:rFonts w:asciiTheme="minorHAnsi" w:hAnsiTheme="minorHAnsi" w:cstheme="minorHAnsi"/>
          <w:color w:val="000000" w:themeColor="text1"/>
        </w:rPr>
        <w:t>a jest prawidłowość wyboru partnerów projektu (jeśli dotyczy).</w:t>
      </w:r>
    </w:p>
    <w:p w:rsidR="004744BC" w:rsidRPr="00E50002" w:rsidRDefault="004744BC" w:rsidP="004273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 zakresie wyboru partnerów projektu, Wnioskodawca powinien wykazać, że w projekcie:</w:t>
      </w:r>
    </w:p>
    <w:p w:rsidR="00FF54CD" w:rsidRPr="00E50002" w:rsidRDefault="004744BC" w:rsidP="004273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partnerzy zostali wybrani zgodnie z przepisami ustawy z dnia 11 lipca 2014 r. o zasadach realizacji programów w zakresie polityki spójności finansowanych w perspektywie finansowej 2014-2020</w:t>
      </w:r>
      <w:r w:rsidR="00FF09A4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FF09A4" w:rsidRPr="00FF09A4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FF09A4" w:rsidRPr="00FF09A4">
        <w:rPr>
          <w:rFonts w:asciiTheme="minorHAnsi" w:hAnsiTheme="minorHAnsi" w:cstheme="minorHAnsi"/>
          <w:color w:val="000000" w:themeColor="text1"/>
        </w:rPr>
        <w:t>. Dz. U. z 2020 r. poz. 818</w:t>
      </w:r>
      <w:r w:rsidR="00FF09A4">
        <w:rPr>
          <w:rFonts w:asciiTheme="minorHAnsi" w:hAnsiTheme="minorHAnsi" w:cstheme="minorHAnsi"/>
          <w:color w:val="000000" w:themeColor="text1"/>
        </w:rPr>
        <w:t>)</w:t>
      </w:r>
      <w:r w:rsidRPr="00E50002">
        <w:rPr>
          <w:rFonts w:asciiTheme="minorHAnsi" w:hAnsiTheme="minorHAnsi" w:cstheme="minorHAnsi"/>
          <w:color w:val="000000" w:themeColor="text1"/>
        </w:rPr>
        <w:t>,</w:t>
      </w:r>
    </w:p>
    <w:p w:rsidR="00FF54CD" w:rsidRPr="00E50002" w:rsidRDefault="004744BC" w:rsidP="004273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 xml:space="preserve">w przypadku partnerstwa z art. 33 </w:t>
      </w:r>
      <w:r w:rsidR="00FF09A4" w:rsidRPr="00E50002">
        <w:rPr>
          <w:rFonts w:asciiTheme="minorHAnsi" w:hAnsiTheme="minorHAnsi" w:cstheme="minorHAnsi"/>
          <w:color w:val="000000" w:themeColor="text1"/>
        </w:rPr>
        <w:t>ww. ustawy</w:t>
      </w:r>
      <w:r w:rsidRPr="00E50002">
        <w:rPr>
          <w:rFonts w:asciiTheme="minorHAnsi" w:hAnsiTheme="minorHAnsi" w:cstheme="minorHAnsi"/>
          <w:color w:val="000000" w:themeColor="text1"/>
        </w:rPr>
        <w:t xml:space="preserve">: partner/partnerzy realizują co do zasady zadania, których z równie dobrym skutkiem dla osiągnięcia celów projektu nie mógłby zrealizować wykonawca wyłoniony zgodnie z prawem zamówień publicznych; partnerzy </w:t>
      </w:r>
      <w:r w:rsidR="00FF09A4">
        <w:rPr>
          <w:rFonts w:asciiTheme="minorHAnsi" w:hAnsiTheme="minorHAnsi" w:cstheme="minorHAnsi"/>
          <w:color w:val="000000" w:themeColor="text1"/>
        </w:rPr>
        <w:br/>
      </w:r>
      <w:r w:rsidRPr="00E50002">
        <w:rPr>
          <w:rFonts w:asciiTheme="minorHAnsi" w:hAnsiTheme="minorHAnsi" w:cstheme="minorHAnsi"/>
          <w:color w:val="000000" w:themeColor="text1"/>
        </w:rPr>
        <w:t xml:space="preserve">co do zasady posiadają znamiona beneficjenta, tj. będą w okresie trwałości projektu </w:t>
      </w:r>
      <w:r w:rsidR="00FF09A4">
        <w:rPr>
          <w:rFonts w:asciiTheme="minorHAnsi" w:hAnsiTheme="minorHAnsi" w:cstheme="minorHAnsi"/>
          <w:color w:val="000000" w:themeColor="text1"/>
        </w:rPr>
        <w:br/>
      </w:r>
      <w:r w:rsidRPr="00E50002">
        <w:rPr>
          <w:rFonts w:asciiTheme="minorHAnsi" w:hAnsiTheme="minorHAnsi" w:cstheme="minorHAnsi"/>
          <w:color w:val="000000" w:themeColor="text1"/>
        </w:rPr>
        <w:t xml:space="preserve">korzystać z jego efektów w celu realizacji swoich zadań publicznych określonych aktem prawnym/statutem/regulaminem; jeżeli partnerzy nie posiadają ww. znamion beneficjenta, </w:t>
      </w:r>
      <w:r w:rsidR="00FF09A4">
        <w:rPr>
          <w:rFonts w:asciiTheme="minorHAnsi" w:hAnsiTheme="minorHAnsi" w:cstheme="minorHAnsi"/>
          <w:color w:val="000000" w:themeColor="text1"/>
        </w:rPr>
        <w:br/>
      </w:r>
      <w:r w:rsidRPr="00E50002">
        <w:rPr>
          <w:rFonts w:asciiTheme="minorHAnsi" w:hAnsiTheme="minorHAnsi" w:cstheme="minorHAnsi"/>
          <w:color w:val="000000" w:themeColor="text1"/>
        </w:rPr>
        <w:t xml:space="preserve">to ich wybór jest dopuszczalny w świetle odpowiednich </w:t>
      </w:r>
      <w:proofErr w:type="spellStart"/>
      <w:r w:rsidRPr="00E50002">
        <w:rPr>
          <w:rFonts w:asciiTheme="minorHAnsi" w:hAnsiTheme="minorHAnsi" w:cstheme="minorHAnsi"/>
          <w:color w:val="000000" w:themeColor="text1"/>
        </w:rPr>
        <w:t>wyłączeń</w:t>
      </w:r>
      <w:proofErr w:type="spellEnd"/>
      <w:r w:rsidRPr="00E50002">
        <w:rPr>
          <w:rFonts w:asciiTheme="minorHAnsi" w:hAnsiTheme="minorHAnsi" w:cstheme="minorHAnsi"/>
          <w:color w:val="000000" w:themeColor="text1"/>
        </w:rPr>
        <w:t xml:space="preserve"> ze stosowania ustawy prawo zamówień publicznych</w:t>
      </w:r>
      <w:r w:rsidR="00FF09A4" w:rsidRPr="00FF09A4">
        <w:t xml:space="preserve"> </w:t>
      </w:r>
      <w:r w:rsidR="00FF09A4">
        <w:t>(</w:t>
      </w:r>
      <w:proofErr w:type="spellStart"/>
      <w:r w:rsidR="00FF09A4" w:rsidRPr="00FF09A4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FF09A4" w:rsidRPr="00FF09A4">
        <w:rPr>
          <w:rFonts w:asciiTheme="minorHAnsi" w:hAnsiTheme="minorHAnsi" w:cstheme="minorHAnsi"/>
          <w:color w:val="000000" w:themeColor="text1"/>
        </w:rPr>
        <w:t>. Dz. U. z 2021 r. poz. 1129</w:t>
      </w:r>
      <w:r w:rsidR="00FF09A4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FF09A4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="00FF09A4">
        <w:rPr>
          <w:rFonts w:asciiTheme="minorHAnsi" w:hAnsiTheme="minorHAnsi" w:cstheme="minorHAnsi"/>
          <w:color w:val="000000" w:themeColor="text1"/>
        </w:rPr>
        <w:t>. zm.)</w:t>
      </w:r>
      <w:r w:rsidRPr="00E50002">
        <w:rPr>
          <w:rFonts w:asciiTheme="minorHAnsi" w:hAnsiTheme="minorHAnsi" w:cstheme="minorHAnsi"/>
          <w:color w:val="000000" w:themeColor="text1"/>
        </w:rPr>
        <w:t>, wskazanych w tej ustawie,</w:t>
      </w:r>
    </w:p>
    <w:p w:rsidR="004744BC" w:rsidRPr="00E50002" w:rsidRDefault="004744BC" w:rsidP="0042731C">
      <w:pPr>
        <w:pStyle w:val="Akapitzlist"/>
        <w:numPr>
          <w:ilvl w:val="0"/>
          <w:numId w:val="11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w przypadku projektów hybrydowych w rozumieniu art. 34 ww. ustawy: partnerzy zostali wybrani zgodnie z właściwymi przepisami prawa</w:t>
      </w:r>
      <w:r w:rsidR="00A24B6E" w:rsidRPr="00E50002">
        <w:rPr>
          <w:rFonts w:asciiTheme="minorHAnsi" w:hAnsiTheme="minorHAnsi" w:cstheme="minorHAnsi"/>
          <w:color w:val="000000" w:themeColor="text1"/>
        </w:rPr>
        <w:t>.</w:t>
      </w:r>
      <w:r w:rsidRPr="00E50002">
        <w:rPr>
          <w:rFonts w:asciiTheme="minorHAnsi" w:hAnsiTheme="minorHAnsi" w:cstheme="minorHAnsi"/>
          <w:color w:val="000000" w:themeColor="text1"/>
        </w:rPr>
        <w:t xml:space="preserve"> </w:t>
      </w:r>
    </w:p>
    <w:p w:rsidR="004744BC" w:rsidRPr="00E50002" w:rsidRDefault="004744BC" w:rsidP="004273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 xml:space="preserve">Do wniosku o dofinansowanie należy dołączyć podpisane porozumienie lub umowę o partnerstwie, </w:t>
      </w:r>
      <w:r w:rsidR="00075618" w:rsidRPr="00E50002">
        <w:rPr>
          <w:rFonts w:asciiTheme="minorHAnsi" w:hAnsiTheme="minorHAnsi" w:cstheme="minorHAnsi"/>
          <w:color w:val="000000" w:themeColor="text1"/>
        </w:rPr>
        <w:br/>
      </w:r>
      <w:r w:rsidRPr="00E50002">
        <w:rPr>
          <w:rFonts w:asciiTheme="minorHAnsi" w:hAnsiTheme="minorHAnsi" w:cstheme="minorHAnsi"/>
          <w:color w:val="000000" w:themeColor="text1"/>
        </w:rPr>
        <w:t>w której określono co najmniej:</w:t>
      </w:r>
    </w:p>
    <w:p w:rsidR="00FF54CD" w:rsidRPr="00E50002" w:rsidRDefault="004744BC" w:rsidP="004273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przedmiot porozumienia/umowy,</w:t>
      </w:r>
    </w:p>
    <w:p w:rsidR="00FF54CD" w:rsidRPr="00E50002" w:rsidRDefault="004744BC" w:rsidP="004273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prawa i obowiązki stron,</w:t>
      </w:r>
    </w:p>
    <w:p w:rsidR="00FF54CD" w:rsidRPr="00E50002" w:rsidRDefault="004744BC" w:rsidP="004273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zakres i formę udziału poszczególnych partnerów w projekcie,</w:t>
      </w:r>
    </w:p>
    <w:p w:rsidR="00FF54CD" w:rsidRPr="00E50002" w:rsidRDefault="004744BC" w:rsidP="004273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partnera wiodącego uprawnionego do reprezentowania pozostałych partnerów projektu,</w:t>
      </w:r>
    </w:p>
    <w:p w:rsidR="00FF54CD" w:rsidRPr="00E50002" w:rsidRDefault="004744BC" w:rsidP="0042731C">
      <w:pPr>
        <w:pStyle w:val="Akapitzlist"/>
        <w:numPr>
          <w:ilvl w:val="0"/>
          <w:numId w:val="12"/>
        </w:numPr>
        <w:ind w:left="567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sposób przekazywania dofinansowania na pokrycie kosztów ponoszonych przez poszczególnych partnerów projektu, umożliwiający określenie kwoty dofinansowania udzielonego każdemu z partnerów,</w:t>
      </w:r>
    </w:p>
    <w:p w:rsidR="004744BC" w:rsidRPr="00E50002" w:rsidRDefault="004744BC" w:rsidP="0042731C">
      <w:pPr>
        <w:pStyle w:val="Akapitzlist"/>
        <w:numPr>
          <w:ilvl w:val="0"/>
          <w:numId w:val="12"/>
        </w:numPr>
        <w:spacing w:after="500"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sposób postępowania w przypadku naruszenia lub niewywiązywania się stron z porozumienia lub umowy.</w:t>
      </w:r>
    </w:p>
    <w:p w:rsidR="004744BC" w:rsidRPr="00E50002" w:rsidRDefault="004744BC" w:rsidP="0042731C">
      <w:pPr>
        <w:pStyle w:val="Akapitzlist"/>
        <w:ind w:left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Kluczowe aspekty oceny:</w:t>
      </w:r>
    </w:p>
    <w:p w:rsidR="00A15E21" w:rsidRPr="00E50002" w:rsidRDefault="00B85719" w:rsidP="0042731C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="004744BC" w:rsidRPr="00E50002">
        <w:rPr>
          <w:rFonts w:asciiTheme="minorHAnsi" w:hAnsiTheme="minorHAnsi" w:cstheme="minorHAnsi"/>
          <w:color w:val="000000" w:themeColor="text1"/>
        </w:rPr>
        <w:t>rawidłow</w:t>
      </w:r>
      <w:r w:rsidR="00756C2F" w:rsidRPr="00E50002">
        <w:rPr>
          <w:rFonts w:asciiTheme="minorHAnsi" w:hAnsiTheme="minorHAnsi" w:cstheme="minorHAnsi"/>
          <w:color w:val="000000" w:themeColor="text1"/>
        </w:rPr>
        <w:t>o wybrano partnerów w projekcie</w:t>
      </w:r>
      <w:r w:rsidR="004744BC" w:rsidRPr="00E50002">
        <w:rPr>
          <w:rFonts w:asciiTheme="minorHAnsi" w:hAnsiTheme="minorHAnsi" w:cstheme="minorHAnsi"/>
          <w:color w:val="000000" w:themeColor="text1"/>
        </w:rPr>
        <w:t xml:space="preserve"> (jeśli dotyczy)</w:t>
      </w:r>
    </w:p>
    <w:p w:rsidR="00F941B5" w:rsidRDefault="00D12F0D" w:rsidP="0042731C">
      <w:pPr>
        <w:pStyle w:val="Akapitzlist"/>
        <w:spacing w:after="500"/>
        <w:ind w:left="0"/>
        <w:contextualSpacing w:val="0"/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(projekt musi uzyskać pozytywną ocenę w</w:t>
      </w:r>
      <w:r w:rsidR="007D3FB1">
        <w:rPr>
          <w:rFonts w:asciiTheme="minorHAnsi" w:hAnsiTheme="minorHAnsi" w:cstheme="minorHAnsi"/>
          <w:color w:val="000000" w:themeColor="text1"/>
        </w:rPr>
        <w:t xml:space="preserve"> aspekcie „a”</w:t>
      </w:r>
      <w:r w:rsidRPr="00E50002">
        <w:rPr>
          <w:rFonts w:asciiTheme="minorHAnsi" w:hAnsiTheme="minorHAnsi" w:cstheme="minorHAnsi"/>
          <w:color w:val="000000" w:themeColor="text1"/>
        </w:rPr>
        <w:t>)</w:t>
      </w:r>
    </w:p>
    <w:p w:rsidR="00C71C16" w:rsidRDefault="00C71C16" w:rsidP="0042731C">
      <w:pPr>
        <w:pStyle w:val="Akapitzlist"/>
        <w:spacing w:after="500"/>
        <w:ind w:left="0"/>
        <w:contextualSpacing w:val="0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00E24D94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D69E9" w:rsidRPr="00E50002" w:rsidRDefault="001D69E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1D69E9" w:rsidRPr="00E50002" w:rsidRDefault="001D69E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1D69E9" w:rsidRPr="00E50002" w:rsidRDefault="001D69E9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00E24D94">
        <w:tc>
          <w:tcPr>
            <w:tcW w:w="704" w:type="dxa"/>
            <w:shd w:val="clear" w:color="auto" w:fill="D9D9D9" w:themeFill="background1" w:themeFillShade="D9"/>
          </w:tcPr>
          <w:p w:rsidR="001D69E9" w:rsidRPr="00E50002" w:rsidRDefault="001D69E9" w:rsidP="00F70AB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1D69E9" w:rsidRPr="00E50002" w:rsidRDefault="00590D8A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Zgodność z zasadami </w:t>
            </w:r>
            <w:r w:rsidR="007D3FB1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udzielania </w:t>
            </w:r>
            <w:r w:rsidR="00F0487A"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pomocy publicznej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1D69E9" w:rsidRPr="00E50002" w:rsidRDefault="001D69E9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1D69E9" w:rsidRPr="00E50002" w:rsidRDefault="001D69E9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5000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F0487A" w:rsidRPr="00E50002" w:rsidRDefault="00F0487A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004EE3" w:rsidRPr="00004EE3" w:rsidRDefault="00004EE3" w:rsidP="00004EE3">
      <w:pPr>
        <w:jc w:val="left"/>
        <w:rPr>
          <w:rFonts w:asciiTheme="minorHAnsi" w:hAnsiTheme="minorHAnsi" w:cstheme="minorHAnsi"/>
          <w:color w:val="000000" w:themeColor="text1"/>
        </w:rPr>
      </w:pPr>
      <w:r w:rsidRPr="00004EE3">
        <w:rPr>
          <w:rFonts w:asciiTheme="minorHAnsi" w:hAnsiTheme="minorHAnsi" w:cstheme="minorHAnsi"/>
          <w:color w:val="000000" w:themeColor="text1"/>
        </w:rPr>
        <w:t>Wnioskodawca wykazał, że udzielenie wsparcia na realizację projektu nie będzie spełniało przesłanek pomocy publicznej, o których mowa w art. 107 ust. 1 Traktatu o funkcjonowaniu Unii Europejskiej – na wszystkich poziomach.</w:t>
      </w:r>
    </w:p>
    <w:p w:rsidR="00004EE3" w:rsidRPr="00004EE3" w:rsidRDefault="00004EE3" w:rsidP="607A5B53">
      <w:pPr>
        <w:jc w:val="left"/>
        <w:rPr>
          <w:rFonts w:asciiTheme="minorHAnsi" w:hAnsiTheme="minorHAnsi" w:cstheme="minorBid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 xml:space="preserve">Ocenie  podlega zatem analiza uwarunkowań projektu w kontekście przesłanek pomocy publicznej z art. 107 ust.1 TFUE, przedłożona w ramach wniosku o dofinasowanie, wskazująca  konkretnie jakie przesłanki pomocy publicznej nie zostaną spełnione w związku z przyjęciem określonych warunków wdrażania projektu na poszczególnych poziomach wsparcia (odpowiednio: wnioskodawca, partner – jeżeli projekt będzie realizowany w formule partnerstwa). </w:t>
      </w:r>
    </w:p>
    <w:p w:rsidR="00F941B5" w:rsidRDefault="00004EE3" w:rsidP="0042731C">
      <w:pPr>
        <w:rPr>
          <w:rFonts w:asciiTheme="minorHAnsi" w:hAnsiTheme="minorHAnsi" w:cstheme="minorHAnsi"/>
          <w:color w:val="000000" w:themeColor="text1"/>
        </w:rPr>
      </w:pPr>
      <w:r w:rsidRPr="00004EE3">
        <w:rPr>
          <w:rFonts w:asciiTheme="minorHAnsi" w:hAnsiTheme="minorHAnsi" w:cstheme="minorHAnsi"/>
          <w:color w:val="000000" w:themeColor="text1"/>
        </w:rPr>
        <w:t>Brak przedłożenia ww. analizy skutkuje odrzuceniem wniosku</w:t>
      </w:r>
      <w:r w:rsidR="00F941B5">
        <w:rPr>
          <w:rFonts w:asciiTheme="minorHAnsi" w:hAnsiTheme="minorHAnsi" w:cstheme="minorHAnsi"/>
          <w:color w:val="000000" w:themeColor="text1"/>
        </w:rPr>
        <w:t>.</w:t>
      </w:r>
    </w:p>
    <w:p w:rsidR="00F941B5" w:rsidRDefault="00F941B5" w:rsidP="0042731C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7D3FB1" w:rsidRPr="004B71CB" w:rsidTr="00576BA3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D3FB1" w:rsidRPr="004B71CB" w:rsidRDefault="007D3FB1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7D3FB1" w:rsidRPr="004B71CB" w:rsidRDefault="007D3FB1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7D3FB1" w:rsidRPr="004B71CB" w:rsidRDefault="007D3FB1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4B71CB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7D3FB1" w:rsidRPr="004B71CB" w:rsidTr="00576BA3">
        <w:tc>
          <w:tcPr>
            <w:tcW w:w="704" w:type="dxa"/>
            <w:shd w:val="clear" w:color="auto" w:fill="D9D9D9" w:themeFill="background1" w:themeFillShade="D9"/>
          </w:tcPr>
          <w:p w:rsidR="007D3FB1" w:rsidRPr="004B71CB" w:rsidRDefault="007D3FB1" w:rsidP="00F70AB6">
            <w:pPr>
              <w:pStyle w:val="Akapitzlist"/>
              <w:numPr>
                <w:ilvl w:val="0"/>
                <w:numId w:val="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7D3FB1" w:rsidRPr="004B71CB" w:rsidRDefault="007D3FB1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P</w:t>
            </w:r>
            <w:r w:rsidRPr="00AE7EA6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 xml:space="preserve">ozytywny wpływ na zasadę niedyskryminacji, w tym dostępności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dla osób z niepełnoprawnościami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7D3FB1" w:rsidRPr="004B71CB" w:rsidRDefault="007D3FB1" w:rsidP="00F70AB6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7D3FB1" w:rsidRPr="004B71CB" w:rsidRDefault="007D3FB1" w:rsidP="00F70AB6">
            <w:pPr>
              <w:spacing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4B71CB"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7D3FB1" w:rsidRPr="004B71CB" w:rsidRDefault="007D3FB1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4B71CB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7D3FB1" w:rsidRPr="00AE7EA6" w:rsidRDefault="007D3FB1" w:rsidP="0042731C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 xml:space="preserve">W ramach kryterium wnioskodawca musi wykazać, że realizacja projektu będzie prowadzona zgodnie ze standardami dostępności wskazanymi w załączniku 2 do Wytycznych równości szans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</w:r>
    </w:p>
    <w:p w:rsidR="007D3FB1" w:rsidRDefault="007D3FB1" w:rsidP="0042731C">
      <w:pPr>
        <w:spacing w:after="120"/>
        <w:rPr>
          <w:rFonts w:asciiTheme="minorHAnsi" w:hAnsiTheme="minorHAnsi" w:cstheme="minorHAnsi"/>
        </w:rPr>
      </w:pPr>
      <w:r w:rsidRPr="00AE7EA6">
        <w:rPr>
          <w:rFonts w:asciiTheme="minorHAnsi" w:hAnsiTheme="minorHAnsi" w:cstheme="minorHAnsi"/>
        </w:rPr>
        <w:t>Przez pozytywny wpływ należy rozumieć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</w:r>
    </w:p>
    <w:p w:rsidR="00F71560" w:rsidRPr="00E82271" w:rsidRDefault="007D3FB1" w:rsidP="0042731C">
      <w:pPr>
        <w:spacing w:after="500"/>
        <w:rPr>
          <w:rFonts w:asciiTheme="minorHAnsi" w:hAnsiTheme="minorHAnsi" w:cstheme="minorHAnsi"/>
        </w:rPr>
      </w:pPr>
      <w:r w:rsidRPr="0068256A">
        <w:rPr>
          <w:rFonts w:asciiTheme="minorHAnsi" w:hAnsiTheme="minorHAnsi" w:cstheme="minorHAnsi"/>
        </w:rPr>
        <w:t>Ponadto w przypadku systemów informatycznych objętych zakresem projektu wnioskodawca jest zobowiązany wykazać, że w ramach projektu zaplanowano skuteczny sposób sprawdzenia zadeklarowanego poziomu dostępności.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6128C21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5752F" w:rsidRPr="00E50002" w:rsidRDefault="485BB060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5752F" w:rsidRPr="00E50002" w:rsidRDefault="485BB060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5752F" w:rsidRPr="00E50002" w:rsidRDefault="485BB060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Opis znaczenia kryterium</w:t>
            </w:r>
          </w:p>
        </w:tc>
      </w:tr>
      <w:tr w:rsidR="00B61D14" w:rsidRPr="00E50002" w:rsidTr="6128C211">
        <w:tc>
          <w:tcPr>
            <w:tcW w:w="704" w:type="dxa"/>
            <w:shd w:val="clear" w:color="auto" w:fill="D9D9D9" w:themeFill="background1" w:themeFillShade="D9"/>
          </w:tcPr>
          <w:p w:rsidR="0045752F" w:rsidRPr="005F587F" w:rsidRDefault="005F587F" w:rsidP="00F941B5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5F587F">
              <w:rPr>
                <w:rFonts w:asciiTheme="minorHAnsi" w:hAnsiTheme="minorHAnsi" w:cstheme="minorBidi"/>
                <w:b/>
                <w:color w:val="000000" w:themeColor="text1"/>
              </w:rPr>
              <w:t>7.</w:t>
            </w:r>
          </w:p>
        </w:tc>
        <w:tc>
          <w:tcPr>
            <w:tcW w:w="5675" w:type="dxa"/>
            <w:shd w:val="clear" w:color="auto" w:fill="F2F2F2" w:themeFill="background1" w:themeFillShade="F2"/>
          </w:tcPr>
          <w:p w:rsidR="0045752F" w:rsidRPr="00E50002" w:rsidRDefault="006852C9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</w:pPr>
            <w:r w:rsidRPr="00F941B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Optymalizacja procesów</w:t>
            </w:r>
            <w:r w:rsidR="485BB060" w:rsidRPr="00F941B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="00759984" w:rsidRPr="00F941B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oraz </w:t>
            </w:r>
            <w:r w:rsidR="00DA549F" w:rsidRPr="00F941B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celowość funkcjonalności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941B5" w:rsidRPr="00F941B5" w:rsidRDefault="00F941B5" w:rsidP="00F941B5">
            <w:pPr>
              <w:spacing w:before="120" w:line="276" w:lineRule="auto"/>
              <w:jc w:val="left"/>
              <w:rPr>
                <w:rFonts w:asciiTheme="minorHAnsi" w:eastAsia="Calibri" w:hAnsiTheme="minorHAnsi" w:cstheme="minorBidi"/>
                <w:lang w:eastAsia="en-US"/>
              </w:rPr>
            </w:pPr>
            <w:r w:rsidRPr="00F941B5">
              <w:rPr>
                <w:rFonts w:asciiTheme="minorHAnsi" w:eastAsia="Calibri" w:hAnsiTheme="minorHAnsi" w:cstheme="minorBidi"/>
                <w:lang w:eastAsia="en-US"/>
              </w:rPr>
              <w:t>TAK/NIE</w:t>
            </w:r>
          </w:p>
          <w:p w:rsidR="0045752F" w:rsidRPr="00E50002" w:rsidRDefault="00F941B5" w:rsidP="00F941B5">
            <w:pPr>
              <w:spacing w:after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00F941B5">
              <w:rPr>
                <w:rFonts w:asciiTheme="minorHAnsi" w:eastAsia="Calibri" w:hAnsiTheme="minorHAnsi" w:cstheme="minorBidi"/>
                <w:lang w:eastAsia="en-US"/>
              </w:rPr>
              <w:t>(niespełnienie kryterium oznacza odrzucenie wniosku)</w:t>
            </w:r>
          </w:p>
        </w:tc>
      </w:tr>
    </w:tbl>
    <w:p w:rsidR="009A50F2" w:rsidRPr="00E50002" w:rsidRDefault="009A50F2" w:rsidP="6128C211">
      <w:pPr>
        <w:jc w:val="left"/>
        <w:rPr>
          <w:rFonts w:asciiTheme="minorHAnsi" w:hAnsiTheme="minorHAnsi" w:cstheme="minorBidi"/>
          <w:b/>
          <w:bCs/>
          <w:i/>
          <w:iCs/>
          <w:color w:val="000000" w:themeColor="text1"/>
          <w:u w:val="single"/>
        </w:rPr>
      </w:pPr>
      <w:r w:rsidRPr="00F941B5">
        <w:rPr>
          <w:rFonts w:asciiTheme="minorHAnsi" w:hAnsiTheme="minorHAnsi" w:cstheme="minorBidi"/>
          <w:b/>
          <w:bCs/>
          <w:i/>
          <w:iCs/>
          <w:u w:val="single"/>
        </w:rPr>
        <w:t>Definicja kryterium:</w:t>
      </w:r>
    </w:p>
    <w:p w:rsidR="00DA549F" w:rsidRPr="00E50002" w:rsidRDefault="009A50F2" w:rsidP="6128C211">
      <w:pPr>
        <w:pStyle w:val="Akapitzlist"/>
        <w:ind w:left="0"/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 xml:space="preserve">Celem kryterium jest zapewnienie realizacji </w:t>
      </w:r>
      <w:r w:rsidR="00DA549F" w:rsidRPr="00F941B5">
        <w:rPr>
          <w:rFonts w:asciiTheme="minorHAnsi" w:hAnsiTheme="minorHAnsi" w:cstheme="minorBidi"/>
        </w:rPr>
        <w:t>systemów</w:t>
      </w:r>
      <w:r w:rsidRPr="00F941B5">
        <w:rPr>
          <w:rFonts w:asciiTheme="minorHAnsi" w:hAnsiTheme="minorHAnsi" w:cstheme="minorBidi"/>
        </w:rPr>
        <w:t xml:space="preserve"> </w:t>
      </w:r>
      <w:r w:rsidR="003A7E8E" w:rsidRPr="00F941B5">
        <w:rPr>
          <w:rFonts w:asciiTheme="minorHAnsi" w:hAnsiTheme="minorHAnsi" w:cstheme="minorBidi"/>
        </w:rPr>
        <w:t>usprawniających</w:t>
      </w:r>
      <w:r w:rsidR="006852C9" w:rsidRPr="00F941B5">
        <w:rPr>
          <w:rFonts w:asciiTheme="minorHAnsi" w:hAnsiTheme="minorHAnsi" w:cstheme="minorBidi"/>
        </w:rPr>
        <w:t xml:space="preserve"> </w:t>
      </w:r>
      <w:r w:rsidR="003A7E8E" w:rsidRPr="00F941B5">
        <w:rPr>
          <w:rFonts w:asciiTheme="minorHAnsi" w:hAnsiTheme="minorHAnsi" w:cstheme="minorBidi"/>
        </w:rPr>
        <w:t>funkcjonowanie urzędu.</w:t>
      </w:r>
      <w:r w:rsidR="00F941B5">
        <w:rPr>
          <w:rFonts w:asciiTheme="minorHAnsi" w:hAnsiTheme="minorHAnsi" w:cstheme="minorBidi"/>
        </w:rPr>
        <w:t xml:space="preserve"> </w:t>
      </w:r>
      <w:r w:rsidR="00A70BE1" w:rsidRPr="00F941B5">
        <w:rPr>
          <w:rFonts w:asciiTheme="minorHAnsi" w:hAnsiTheme="minorHAnsi" w:cstheme="minorBidi"/>
        </w:rPr>
        <w:t>Z</w:t>
      </w:r>
      <w:r w:rsidRPr="00F941B5">
        <w:rPr>
          <w:rFonts w:asciiTheme="minorHAnsi" w:hAnsiTheme="minorHAnsi" w:cstheme="minorBidi"/>
        </w:rPr>
        <w:t xml:space="preserve">definiowano </w:t>
      </w:r>
      <w:r w:rsidR="00DA549F" w:rsidRPr="00F941B5">
        <w:rPr>
          <w:rFonts w:asciiTheme="minorHAnsi" w:hAnsiTheme="minorHAnsi" w:cstheme="minorBidi"/>
        </w:rPr>
        <w:t>funkcje systemu</w:t>
      </w:r>
      <w:r w:rsidRPr="00F941B5">
        <w:rPr>
          <w:rFonts w:asciiTheme="minorHAnsi" w:hAnsiTheme="minorHAnsi" w:cstheme="minorBidi"/>
        </w:rPr>
        <w:t xml:space="preserve"> w sposób kompletny, w szczególności</w:t>
      </w:r>
      <w:r w:rsidR="00CB5C73" w:rsidRPr="00F941B5">
        <w:rPr>
          <w:rFonts w:asciiTheme="minorHAnsi" w:hAnsiTheme="minorHAnsi" w:cstheme="minorBidi"/>
        </w:rPr>
        <w:t xml:space="preserve"> </w:t>
      </w:r>
      <w:r w:rsidRPr="00F941B5">
        <w:rPr>
          <w:rFonts w:asciiTheme="minorHAnsi" w:hAnsiTheme="minorHAnsi" w:cstheme="minorBidi"/>
        </w:rPr>
        <w:t xml:space="preserve">określono grupę odbiorców, zidentyfikowano ich potrzeby i uzasadniono w jaki sposób </w:t>
      </w:r>
      <w:r w:rsidR="00DA549F" w:rsidRPr="00F941B5">
        <w:rPr>
          <w:rFonts w:asciiTheme="minorHAnsi" w:hAnsiTheme="minorHAnsi" w:cstheme="minorBidi"/>
        </w:rPr>
        <w:t xml:space="preserve">system </w:t>
      </w:r>
      <w:r w:rsidRPr="00F941B5">
        <w:rPr>
          <w:rFonts w:asciiTheme="minorHAnsi" w:hAnsiTheme="minorHAnsi" w:cstheme="minorBidi"/>
        </w:rPr>
        <w:t xml:space="preserve">je zaspokoi. </w:t>
      </w:r>
      <w:r w:rsidR="00CB5C73" w:rsidRPr="00F941B5">
        <w:rPr>
          <w:rFonts w:asciiTheme="minorHAnsi" w:hAnsiTheme="minorHAnsi" w:cstheme="minorBidi"/>
        </w:rPr>
        <w:t>O</w:t>
      </w:r>
      <w:r w:rsidRPr="00F941B5">
        <w:rPr>
          <w:rFonts w:asciiTheme="minorHAnsi" w:hAnsiTheme="minorHAnsi" w:cstheme="minorBidi"/>
        </w:rPr>
        <w:t>pisa</w:t>
      </w:r>
      <w:r w:rsidR="00CB5C73" w:rsidRPr="00F941B5">
        <w:rPr>
          <w:rFonts w:asciiTheme="minorHAnsi" w:hAnsiTheme="minorHAnsi" w:cstheme="minorBidi"/>
        </w:rPr>
        <w:t>no</w:t>
      </w:r>
      <w:r w:rsidRPr="00F941B5">
        <w:rPr>
          <w:rFonts w:asciiTheme="minorHAnsi" w:hAnsiTheme="minorHAnsi" w:cstheme="minorBidi"/>
        </w:rPr>
        <w:t xml:space="preserve"> precyzyjnie sposób działania tj. </w:t>
      </w:r>
      <w:r w:rsidR="00DA549F" w:rsidRPr="00F941B5">
        <w:rPr>
          <w:rFonts w:asciiTheme="minorHAnsi" w:hAnsiTheme="minorHAnsi" w:cstheme="minorBidi"/>
        </w:rPr>
        <w:t>realizowane funkcjonalności, ich wpływ na pracę administracji, celowość rozwoju.</w:t>
      </w:r>
    </w:p>
    <w:p w:rsidR="007A11BA" w:rsidRDefault="00CD645B" w:rsidP="00F941B5">
      <w:pPr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 xml:space="preserve">Opis powinien uwzględniać zmiany dotychczasowych procesów oraz przedstawić sposób ich optymalizacji. </w:t>
      </w:r>
      <w:r w:rsidR="009A50F2" w:rsidRPr="00F941B5">
        <w:rPr>
          <w:rFonts w:asciiTheme="minorHAnsi" w:hAnsiTheme="minorHAnsi" w:cstheme="minorBidi"/>
        </w:rPr>
        <w:t xml:space="preserve">Wdrożenie </w:t>
      </w:r>
      <w:r w:rsidR="00DA549F" w:rsidRPr="00F941B5">
        <w:rPr>
          <w:rFonts w:asciiTheme="minorHAnsi" w:hAnsiTheme="minorHAnsi" w:cstheme="minorBidi"/>
        </w:rPr>
        <w:t xml:space="preserve">systemu </w:t>
      </w:r>
      <w:r w:rsidR="009A50F2" w:rsidRPr="00F941B5">
        <w:rPr>
          <w:rFonts w:asciiTheme="minorHAnsi" w:hAnsiTheme="minorHAnsi" w:cstheme="minorBidi"/>
        </w:rPr>
        <w:t xml:space="preserve">upraszcza </w:t>
      </w:r>
      <w:r w:rsidR="00DA549F" w:rsidRPr="00F941B5">
        <w:rPr>
          <w:rFonts w:asciiTheme="minorHAnsi" w:hAnsiTheme="minorHAnsi" w:cstheme="minorBidi"/>
        </w:rPr>
        <w:t>procedury</w:t>
      </w:r>
      <w:r w:rsidR="009A50F2" w:rsidRPr="00F941B5">
        <w:rPr>
          <w:rFonts w:asciiTheme="minorHAnsi" w:hAnsiTheme="minorHAnsi" w:cstheme="minorBidi"/>
        </w:rPr>
        <w:t xml:space="preserve"> </w:t>
      </w:r>
      <w:r w:rsidR="00DA549F" w:rsidRPr="00F941B5">
        <w:rPr>
          <w:rFonts w:asciiTheme="minorHAnsi" w:hAnsiTheme="minorHAnsi" w:cstheme="minorBidi"/>
        </w:rPr>
        <w:t>których</w:t>
      </w:r>
      <w:r w:rsidR="00AF4A17" w:rsidRPr="00F941B5">
        <w:rPr>
          <w:rFonts w:asciiTheme="minorHAnsi" w:hAnsiTheme="minorHAnsi" w:cstheme="minorBidi"/>
        </w:rPr>
        <w:t xml:space="preserve"> to wdrożenie </w:t>
      </w:r>
      <w:r w:rsidR="00DA549F" w:rsidRPr="00F941B5">
        <w:rPr>
          <w:rFonts w:asciiTheme="minorHAnsi" w:hAnsiTheme="minorHAnsi" w:cstheme="minorBidi"/>
        </w:rPr>
        <w:t>dotyczy</w:t>
      </w:r>
      <w:r w:rsidR="009A50F2" w:rsidRPr="00F941B5">
        <w:rPr>
          <w:rFonts w:asciiTheme="minorHAnsi" w:hAnsiTheme="minorHAnsi" w:cstheme="minorBidi"/>
        </w:rPr>
        <w:t xml:space="preserve">, zapewniając większą wygodę i skrócenie czasu jej realizacji oraz zmniejszenie obciążeń administracyjnych. </w:t>
      </w:r>
    </w:p>
    <w:p w:rsidR="009A50F2" w:rsidRPr="00E50002" w:rsidRDefault="009A50F2" w:rsidP="6128C211">
      <w:pPr>
        <w:pStyle w:val="Akapitzlist"/>
        <w:ind w:left="0"/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>Kluczowe aspekty oceny:</w:t>
      </w:r>
    </w:p>
    <w:p w:rsidR="009A50F2" w:rsidRPr="00E50002" w:rsidRDefault="00CB5C73" w:rsidP="6128C211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>Z</w:t>
      </w:r>
      <w:r w:rsidR="006E42CD" w:rsidRPr="00F941B5">
        <w:rPr>
          <w:rFonts w:asciiTheme="minorHAnsi" w:hAnsiTheme="minorHAnsi" w:cstheme="minorBidi"/>
        </w:rPr>
        <w:t>definiowan</w:t>
      </w:r>
      <w:r w:rsidR="009A50F2" w:rsidRPr="00F941B5">
        <w:rPr>
          <w:rFonts w:asciiTheme="minorHAnsi" w:hAnsiTheme="minorHAnsi" w:cstheme="minorBidi"/>
        </w:rPr>
        <w:t xml:space="preserve">e </w:t>
      </w:r>
      <w:r w:rsidR="00DA549F" w:rsidRPr="00F941B5">
        <w:rPr>
          <w:rFonts w:asciiTheme="minorHAnsi" w:hAnsiTheme="minorHAnsi" w:cstheme="minorBidi"/>
        </w:rPr>
        <w:t xml:space="preserve">funkcje systemu są </w:t>
      </w:r>
      <w:r w:rsidR="009A50F2" w:rsidRPr="00F941B5">
        <w:rPr>
          <w:rFonts w:asciiTheme="minorHAnsi" w:hAnsiTheme="minorHAnsi" w:cstheme="minorBidi"/>
        </w:rPr>
        <w:t xml:space="preserve">klarowne i pełne - precyzyjnie określono jaką potrzebę zaspokaja </w:t>
      </w:r>
      <w:r w:rsidR="00262E58" w:rsidRPr="00F941B5">
        <w:rPr>
          <w:rFonts w:asciiTheme="minorHAnsi" w:hAnsiTheme="minorHAnsi" w:cstheme="minorBidi"/>
        </w:rPr>
        <w:t>system</w:t>
      </w:r>
      <w:r w:rsidR="009A50F2" w:rsidRPr="00F941B5">
        <w:rPr>
          <w:rFonts w:asciiTheme="minorHAnsi" w:hAnsiTheme="minorHAnsi" w:cstheme="minorBidi"/>
        </w:rPr>
        <w:t xml:space="preserve">, </w:t>
      </w:r>
      <w:r w:rsidR="00262E58" w:rsidRPr="00F941B5">
        <w:rPr>
          <w:rFonts w:asciiTheme="minorHAnsi" w:hAnsiTheme="minorHAnsi" w:cstheme="minorBidi"/>
        </w:rPr>
        <w:t>jego</w:t>
      </w:r>
      <w:r w:rsidR="009A50F2" w:rsidRPr="00F941B5">
        <w:rPr>
          <w:rFonts w:asciiTheme="minorHAnsi" w:hAnsiTheme="minorHAnsi" w:cstheme="minorBidi"/>
        </w:rPr>
        <w:t xml:space="preserve"> funkcjonalność i sposób działania oraz grupę odbiorców</w:t>
      </w:r>
      <w:r w:rsidRPr="00F941B5">
        <w:rPr>
          <w:rFonts w:asciiTheme="minorHAnsi" w:hAnsiTheme="minorHAnsi" w:cstheme="minorBidi"/>
        </w:rPr>
        <w:t>,</w:t>
      </w:r>
      <w:r w:rsidR="009A50F2" w:rsidRPr="00F941B5">
        <w:rPr>
          <w:rFonts w:asciiTheme="minorHAnsi" w:hAnsiTheme="minorHAnsi" w:cstheme="minorBidi"/>
        </w:rPr>
        <w:t xml:space="preserve"> </w:t>
      </w:r>
    </w:p>
    <w:p w:rsidR="009A50F2" w:rsidRPr="00E50002" w:rsidRDefault="00CB5C73" w:rsidP="6128C211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>P</w:t>
      </w:r>
      <w:r w:rsidR="009A50F2" w:rsidRPr="00F941B5">
        <w:rPr>
          <w:rFonts w:asciiTheme="minorHAnsi" w:hAnsiTheme="minorHAnsi" w:cstheme="minorBidi"/>
        </w:rPr>
        <w:t>odany zakres funkcjonalny jest adekwatny do potrzeb</w:t>
      </w:r>
      <w:r w:rsidRPr="00F941B5">
        <w:rPr>
          <w:rFonts w:asciiTheme="minorHAnsi" w:hAnsiTheme="minorHAnsi" w:cstheme="minorBidi"/>
        </w:rPr>
        <w:t>,</w:t>
      </w:r>
    </w:p>
    <w:p w:rsidR="009A50F2" w:rsidRPr="00E50002" w:rsidRDefault="00CB5C73" w:rsidP="6128C211">
      <w:pPr>
        <w:pStyle w:val="Akapitzlist"/>
        <w:numPr>
          <w:ilvl w:val="0"/>
          <w:numId w:val="17"/>
        </w:numPr>
        <w:ind w:left="567"/>
        <w:rPr>
          <w:rFonts w:asciiTheme="minorHAnsi" w:hAnsiTheme="minorHAnsi" w:cstheme="minorBidi"/>
          <w:color w:val="000000" w:themeColor="text1"/>
        </w:rPr>
      </w:pPr>
      <w:r w:rsidRPr="00F941B5">
        <w:rPr>
          <w:rFonts w:asciiTheme="minorHAnsi" w:hAnsiTheme="minorHAnsi" w:cstheme="minorBidi"/>
        </w:rPr>
        <w:t>W</w:t>
      </w:r>
      <w:r w:rsidR="00262E58" w:rsidRPr="00F941B5">
        <w:rPr>
          <w:rFonts w:asciiTheme="minorHAnsi" w:hAnsiTheme="minorHAnsi" w:cstheme="minorBidi"/>
        </w:rPr>
        <w:t>drożenie rozwiązania</w:t>
      </w:r>
      <w:r w:rsidR="009A50F2" w:rsidRPr="00F941B5">
        <w:rPr>
          <w:rFonts w:asciiTheme="minorHAnsi" w:hAnsiTheme="minorHAnsi" w:cstheme="minorBidi"/>
        </w:rPr>
        <w:t xml:space="preserve"> </w:t>
      </w:r>
      <w:r w:rsidR="00262E58" w:rsidRPr="00F941B5">
        <w:rPr>
          <w:rFonts w:asciiTheme="minorHAnsi" w:hAnsiTheme="minorHAnsi" w:cstheme="minorBidi"/>
        </w:rPr>
        <w:t>będzie miało, pośredni, pozytywny wpływ</w:t>
      </w:r>
      <w:r w:rsidR="00AF4A17" w:rsidRPr="00F941B5">
        <w:rPr>
          <w:rFonts w:asciiTheme="minorHAnsi" w:hAnsiTheme="minorHAnsi" w:cstheme="minorBidi"/>
        </w:rPr>
        <w:t xml:space="preserve"> na usprawnienie pracy urzędu przekładające się na lepszą obsługę obywatela/przedsiębiorcy</w:t>
      </w:r>
      <w:r w:rsidRPr="00F941B5">
        <w:rPr>
          <w:rFonts w:asciiTheme="minorHAnsi" w:hAnsiTheme="minorHAnsi" w:cstheme="minorBidi"/>
        </w:rPr>
        <w:t>,</w:t>
      </w:r>
      <w:r w:rsidR="009A50F2" w:rsidRPr="00F941B5">
        <w:rPr>
          <w:rFonts w:asciiTheme="minorHAnsi" w:hAnsiTheme="minorHAnsi" w:cstheme="minorBidi"/>
        </w:rPr>
        <w:t xml:space="preserve"> </w:t>
      </w:r>
    </w:p>
    <w:p w:rsidR="133FB25A" w:rsidRDefault="5D5FDEA1" w:rsidP="133FB25A">
      <w:pPr>
        <w:pStyle w:val="Akapitzlist"/>
        <w:numPr>
          <w:ilvl w:val="0"/>
          <w:numId w:val="17"/>
        </w:numPr>
        <w:ind w:left="56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78C3A32">
        <w:rPr>
          <w:rFonts w:asciiTheme="minorHAnsi" w:hAnsiTheme="minorHAnsi" w:cstheme="minorBidi"/>
        </w:rPr>
        <w:t>Systemy informatyczne zaplanowano w sposób zapewniający interoperacyjność z innymi systemami administracji państwowej, wdrożonymi lub planowanymi do wdrożenia</w:t>
      </w:r>
      <w:r w:rsidR="393EE3CD" w:rsidRPr="393EE3CD">
        <w:rPr>
          <w:rFonts w:asciiTheme="minorHAnsi" w:hAnsiTheme="minorHAnsi" w:cstheme="minorBidi"/>
        </w:rPr>
        <w:t>.</w:t>
      </w:r>
    </w:p>
    <w:p w:rsidR="00042656" w:rsidRPr="00F941B5" w:rsidRDefault="00042656" w:rsidP="6128C211">
      <w:pPr>
        <w:pStyle w:val="Akapitzlist"/>
        <w:spacing w:after="500"/>
        <w:ind w:left="210"/>
        <w:rPr>
          <w:rFonts w:asciiTheme="minorHAnsi" w:hAnsiTheme="minorHAnsi" w:cstheme="minorBidi"/>
          <w:color w:val="538135" w:themeColor="accent6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6128C21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C18B7" w:rsidRPr="00E50002" w:rsidRDefault="00EC18B7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EC18B7" w:rsidRPr="00E50002" w:rsidRDefault="00EC18B7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EC18B7" w:rsidRPr="00E50002" w:rsidRDefault="00EC18B7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6128C211">
        <w:tc>
          <w:tcPr>
            <w:tcW w:w="704" w:type="dxa"/>
            <w:shd w:val="clear" w:color="auto" w:fill="D9D9D9" w:themeFill="background1" w:themeFillShade="D9"/>
          </w:tcPr>
          <w:p w:rsidR="00EC18B7" w:rsidRPr="005F587F" w:rsidRDefault="005F587F" w:rsidP="005F587F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5F587F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8. </w:t>
            </w:r>
          </w:p>
        </w:tc>
        <w:tc>
          <w:tcPr>
            <w:tcW w:w="5675" w:type="dxa"/>
            <w:shd w:val="clear" w:color="auto" w:fill="F2F2F2" w:themeFill="background1" w:themeFillShade="F2"/>
          </w:tcPr>
          <w:p w:rsidR="00EC18B7" w:rsidRPr="00E50002" w:rsidRDefault="00EC18B7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  <w:r w:rsidRPr="00E50002"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  <w:t>Efektywność kosztowa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F941B5" w:rsidRPr="00F941B5" w:rsidRDefault="00F941B5" w:rsidP="00F941B5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F941B5">
              <w:rPr>
                <w:rFonts w:asciiTheme="minorHAnsi" w:hAnsiTheme="minorHAnsi" w:cstheme="minorHAnsi"/>
              </w:rPr>
              <w:t>TAK/NIE</w:t>
            </w:r>
          </w:p>
          <w:p w:rsidR="00EC18B7" w:rsidRPr="00E50002" w:rsidRDefault="00F941B5" w:rsidP="00F941B5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F941B5">
              <w:rPr>
                <w:rFonts w:asciiTheme="minorHAnsi" w:hAnsiTheme="minorHAnsi" w:cstheme="minorHAnsi"/>
              </w:rPr>
              <w:t>(niespełnienie kryterium oznacza odrzucenie wniosku)</w:t>
            </w:r>
          </w:p>
        </w:tc>
      </w:tr>
    </w:tbl>
    <w:p w:rsidR="00494294" w:rsidRPr="00E50002" w:rsidRDefault="00494294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472F19" w:rsidRPr="00472F19" w:rsidRDefault="00472F19" w:rsidP="00472F19">
      <w:pPr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Należy ocenić czy łączny koszt i poszczególne wykazane składniki kosztowe są adekwatne z punktu widzenia celu i skali projektu.</w:t>
      </w:r>
    </w:p>
    <w:p w:rsidR="00472F19" w:rsidRPr="00472F19" w:rsidRDefault="00472F19" w:rsidP="00472F19">
      <w:pPr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Aspekty podlegające ocenie:</w:t>
      </w:r>
    </w:p>
    <w:p w:rsidR="00472F19" w:rsidRPr="00472F19" w:rsidRDefault="00472F19" w:rsidP="0061150A">
      <w:pPr>
        <w:numPr>
          <w:ilvl w:val="0"/>
          <w:numId w:val="35"/>
        </w:numPr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Przeprowadzono poprawną analizę ekonomiczną, analizę finansową i analizę trwałości. Analiza zostanie przeprowadzona z wykorzystaniem formularza udostępnionego przez ION i będzie opierać się na oszacowaniu jakościowych i ilościowych skutków realizacji projektu.</w:t>
      </w:r>
    </w:p>
    <w:p w:rsidR="00472F19" w:rsidRPr="00472F19" w:rsidRDefault="00472F19" w:rsidP="0061150A">
      <w:pPr>
        <w:numPr>
          <w:ilvl w:val="0"/>
          <w:numId w:val="35"/>
        </w:numPr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Przeprowadzono uproszczoną, wiarygodną analizę kosztów i korzyści:</w:t>
      </w:r>
    </w:p>
    <w:p w:rsidR="00472F19" w:rsidRPr="00472F19" w:rsidRDefault="00472F19" w:rsidP="0061150A">
      <w:pPr>
        <w:numPr>
          <w:ilvl w:val="0"/>
          <w:numId w:val="36"/>
        </w:numPr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Wnioskodawca przeprowadził syntetyczną, tj. wysokopoziomową analizę, wyszczególniając wyraźnie główne składniki kosztowe (w tym również koszty związane z eksploatacją) i wykazał korzyści wynikające z realizacji projektu;</w:t>
      </w:r>
    </w:p>
    <w:p w:rsidR="00472F19" w:rsidRPr="00472F19" w:rsidRDefault="00472F19" w:rsidP="0061150A">
      <w:pPr>
        <w:numPr>
          <w:ilvl w:val="0"/>
          <w:numId w:val="36"/>
        </w:numPr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Wykazane koszty są rynkowe i optymalne/racjonalne z punktu widzenia osiągnięcia celu;</w:t>
      </w:r>
    </w:p>
    <w:p w:rsidR="00472F19" w:rsidRPr="00472F19" w:rsidRDefault="00472F19" w:rsidP="0061150A">
      <w:pPr>
        <w:numPr>
          <w:ilvl w:val="0"/>
          <w:numId w:val="36"/>
        </w:numPr>
        <w:ind w:left="426"/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Wykazane korzyści są realne i oszacowane w wiarygodny sposób.</w:t>
      </w:r>
    </w:p>
    <w:p w:rsidR="00472F19" w:rsidRPr="00472F19" w:rsidRDefault="00472F19" w:rsidP="0061150A">
      <w:pPr>
        <w:numPr>
          <w:ilvl w:val="0"/>
          <w:numId w:val="35"/>
        </w:numPr>
        <w:ind w:left="426"/>
        <w:jc w:val="left"/>
        <w:rPr>
          <w:rFonts w:asciiTheme="minorHAnsi" w:hAnsiTheme="minorHAnsi" w:cstheme="minorBidi"/>
          <w:color w:val="000000" w:themeColor="text1"/>
        </w:rPr>
      </w:pPr>
      <w:r w:rsidRPr="607A5B53">
        <w:rPr>
          <w:rFonts w:asciiTheme="minorHAnsi" w:hAnsiTheme="minorHAnsi" w:cstheme="minorBidi"/>
          <w:color w:val="000000" w:themeColor="text1"/>
        </w:rPr>
        <w:t>Wydatki wskazane w projekcie wpisują się w rodzaje wydatków dopuszczalnych zgodnie z Krajowymi wytycznymi w zakresie kwalifikowalności wydatków w ramach Europejskiego Funduszu Rozwoju Regionalnego, Europejskiego Funduszu Społecznego oraz Funduszu Spójności w okresie programowania 2014-2020 i Katalogiem wydatków kwalifikowalnych w projektach realizowanych w ramach II osi priorytetowej Programu Operacyjnego Polska Cyfrowa na lata 2014-2020 będącym załącznikiem do SZOOP POPC.</w:t>
      </w:r>
    </w:p>
    <w:p w:rsidR="00472F19" w:rsidRPr="00472F19" w:rsidRDefault="00472F19" w:rsidP="00472F19">
      <w:pPr>
        <w:jc w:val="left"/>
        <w:rPr>
          <w:rFonts w:asciiTheme="minorHAnsi" w:hAnsiTheme="minorHAnsi" w:cstheme="minorHAnsi"/>
          <w:color w:val="000000" w:themeColor="text1"/>
        </w:rPr>
      </w:pPr>
      <w:r w:rsidRPr="00472F19">
        <w:rPr>
          <w:rFonts w:asciiTheme="minorHAnsi" w:hAnsiTheme="minorHAnsi" w:cstheme="minorHAnsi"/>
          <w:color w:val="000000" w:themeColor="text1"/>
        </w:rPr>
        <w:t>(projekt musi uzyskać pozytywną ocenę we wszystkich aspektach)</w:t>
      </w:r>
    </w:p>
    <w:p w:rsidR="00E82271" w:rsidRDefault="00E82271" w:rsidP="00F941B5">
      <w:pPr>
        <w:pStyle w:val="Akapitzlist"/>
        <w:ind w:left="567"/>
        <w:rPr>
          <w:rFonts w:asciiTheme="minorHAnsi" w:hAnsiTheme="minorHAnsi" w:cstheme="minorBidi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6128C21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970B2" w:rsidRPr="00F941B5" w:rsidRDefault="008970B2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8970B2" w:rsidRPr="00F941B5" w:rsidRDefault="008970B2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8970B2" w:rsidRPr="00F941B5" w:rsidRDefault="008970B2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F941B5">
              <w:rPr>
                <w:rFonts w:asciiTheme="minorHAnsi" w:hAnsiTheme="minorHAnsi" w:cstheme="minorBidi"/>
                <w:b/>
                <w:bCs/>
                <w:i/>
                <w:iCs/>
              </w:rPr>
              <w:t>Opis znaczenia kryterium</w:t>
            </w:r>
          </w:p>
        </w:tc>
      </w:tr>
      <w:tr w:rsidR="00B61D14" w:rsidRPr="00E50002" w:rsidTr="6128C211">
        <w:tc>
          <w:tcPr>
            <w:tcW w:w="704" w:type="dxa"/>
            <w:shd w:val="clear" w:color="auto" w:fill="D9D9D9" w:themeFill="background1" w:themeFillShade="D9"/>
          </w:tcPr>
          <w:p w:rsidR="008970B2" w:rsidRPr="00E50002" w:rsidRDefault="008970B2" w:rsidP="005F587F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8970B2" w:rsidRPr="00E50002" w:rsidRDefault="008970B2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</w:pPr>
            <w:r w:rsidRPr="6128C211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  <w:t>Zapewnienie jakości oraz bezpieczeństwa oprogramowania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72F19" w:rsidRPr="00472F19" w:rsidDel="009C230D" w:rsidRDefault="00472F19" w:rsidP="6128C211">
            <w:pPr>
              <w:spacing w:before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6128C211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TAK/NIE</w:t>
            </w:r>
          </w:p>
          <w:p w:rsidR="008970B2" w:rsidRPr="00E50002" w:rsidRDefault="00472F19" w:rsidP="00F941B5">
            <w:pPr>
              <w:spacing w:after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6128C211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(niespełnienie kryterium oznacza odrzucenie wniosku)</w:t>
            </w:r>
          </w:p>
        </w:tc>
      </w:tr>
    </w:tbl>
    <w:p w:rsidR="008970B2" w:rsidRPr="00E50002" w:rsidRDefault="008970B2" w:rsidP="6128C211">
      <w:pPr>
        <w:jc w:val="left"/>
        <w:rPr>
          <w:rFonts w:asciiTheme="minorHAnsi" w:hAnsiTheme="minorHAnsi" w:cstheme="minorBidi"/>
          <w:b/>
          <w:bCs/>
          <w:i/>
          <w:iCs/>
          <w:color w:val="000000" w:themeColor="text1"/>
          <w:u w:val="single"/>
        </w:rPr>
      </w:pPr>
      <w:r w:rsidRPr="6128C211">
        <w:rPr>
          <w:rFonts w:asciiTheme="minorHAnsi" w:hAnsiTheme="minorHAnsi" w:cstheme="minorBidi"/>
          <w:b/>
          <w:bCs/>
          <w:i/>
          <w:iCs/>
          <w:color w:val="000000" w:themeColor="text1"/>
          <w:u w:val="single"/>
        </w:rPr>
        <w:t>Definicja kryterium:</w:t>
      </w:r>
    </w:p>
    <w:p w:rsidR="6EACC314" w:rsidRDefault="6EACC314">
      <w:pPr>
        <w:rPr>
          <w:rFonts w:asciiTheme="minorHAnsi" w:eastAsiaTheme="minorEastAsia" w:hAnsiTheme="minorHAnsi" w:cstheme="minorBidi"/>
        </w:rPr>
      </w:pPr>
      <w:r w:rsidRPr="45D0508A">
        <w:rPr>
          <w:rFonts w:asciiTheme="minorHAnsi" w:eastAsiaTheme="minorEastAsia" w:hAnsiTheme="minorHAnsi" w:cstheme="minorBidi"/>
        </w:rPr>
        <w:t>Wnioskodawca oświadczył, że:</w:t>
      </w:r>
    </w:p>
    <w:p w:rsidR="6EACC314" w:rsidRDefault="6EACC314">
      <w:pPr>
        <w:rPr>
          <w:rFonts w:asciiTheme="minorHAnsi" w:eastAsiaTheme="minorEastAsia" w:hAnsiTheme="minorHAnsi" w:cstheme="minorBidi"/>
        </w:rPr>
      </w:pPr>
      <w:r w:rsidRPr="45D0508A">
        <w:rPr>
          <w:rFonts w:asciiTheme="minorHAnsi" w:eastAsiaTheme="minorEastAsia" w:hAnsiTheme="minorHAnsi" w:cstheme="minorBidi"/>
        </w:rPr>
        <w:t xml:space="preserve">1. </w:t>
      </w:r>
      <w:r w:rsidR="3550EF23" w:rsidRPr="4FE19F5D">
        <w:rPr>
          <w:rFonts w:asciiTheme="minorHAnsi" w:eastAsiaTheme="minorEastAsia" w:hAnsiTheme="minorHAnsi" w:cstheme="minorBidi"/>
        </w:rPr>
        <w:t>Zaplanowane</w:t>
      </w:r>
      <w:r w:rsidRPr="45D0508A">
        <w:rPr>
          <w:rFonts w:asciiTheme="minorHAnsi" w:eastAsiaTheme="minorEastAsia" w:hAnsiTheme="minorHAnsi" w:cstheme="minorBidi"/>
        </w:rPr>
        <w:t xml:space="preserve"> do realizacji rozwiązanie zapewni adekwatne mechanizmy bezpieczeństwa systemu</w:t>
      </w:r>
      <w:r w:rsidR="3550EF23" w:rsidRPr="45D0508A">
        <w:rPr>
          <w:rFonts w:asciiTheme="minorHAnsi" w:eastAsiaTheme="minorEastAsia" w:hAnsiTheme="minorHAnsi" w:cstheme="minorBidi"/>
        </w:rPr>
        <w:t xml:space="preserve"> </w:t>
      </w:r>
      <w:r w:rsidRPr="45D0508A">
        <w:rPr>
          <w:rFonts w:asciiTheme="minorHAnsi" w:eastAsiaTheme="minorEastAsia" w:hAnsiTheme="minorHAnsi" w:cstheme="minorBidi"/>
        </w:rPr>
        <w:t>i przetwarzanych danych (testy bezpieczeństwa, testy penetracyjne, audyty bezpieczeństwa,</w:t>
      </w:r>
      <w:r w:rsidR="069057E3" w:rsidRPr="45D0508A">
        <w:rPr>
          <w:rFonts w:asciiTheme="minorHAnsi" w:eastAsiaTheme="minorEastAsia" w:hAnsiTheme="minorHAnsi" w:cstheme="minorBidi"/>
          <w:szCs w:val="22"/>
        </w:rPr>
        <w:t xml:space="preserve"> </w:t>
      </w:r>
      <w:r w:rsidRPr="45D0508A">
        <w:rPr>
          <w:rFonts w:asciiTheme="minorHAnsi" w:eastAsiaTheme="minorEastAsia" w:hAnsiTheme="minorHAnsi" w:cstheme="minorBidi"/>
          <w:szCs w:val="22"/>
        </w:rPr>
        <w:t>analiza bezpieczeństwa i jakości wytwarzanego kodu) w aspekcie zastosowanej infrastruktury IT</w:t>
      </w:r>
      <w:r w:rsidR="069057E3" w:rsidRPr="45D0508A">
        <w:rPr>
          <w:rFonts w:asciiTheme="minorHAnsi" w:eastAsiaTheme="minorEastAsia" w:hAnsiTheme="minorHAnsi" w:cstheme="minorBidi"/>
          <w:szCs w:val="22"/>
        </w:rPr>
        <w:t xml:space="preserve"> </w:t>
      </w:r>
      <w:r w:rsidRPr="45D0508A">
        <w:rPr>
          <w:rFonts w:asciiTheme="minorHAnsi" w:eastAsiaTheme="minorEastAsia" w:hAnsiTheme="minorHAnsi" w:cstheme="minorBidi"/>
        </w:rPr>
        <w:t>oraz rozwiązań architektonicznych aplikacji.</w:t>
      </w:r>
    </w:p>
    <w:p w:rsidR="6EACC314" w:rsidRDefault="6EACC314">
      <w:pPr>
        <w:rPr>
          <w:rFonts w:asciiTheme="minorHAnsi" w:eastAsiaTheme="minorEastAsia" w:hAnsiTheme="minorHAnsi" w:cstheme="minorBidi"/>
        </w:rPr>
      </w:pPr>
      <w:r w:rsidRPr="45D0508A">
        <w:rPr>
          <w:rFonts w:asciiTheme="minorHAnsi" w:eastAsiaTheme="minorEastAsia" w:hAnsiTheme="minorHAnsi" w:cstheme="minorBidi"/>
        </w:rPr>
        <w:t>2. Wymagania analityczne rozwiązania będą zawierać wymagania dotyczące bezpieczeństwa</w:t>
      </w:r>
      <w:r w:rsidR="3550EF23" w:rsidRPr="45D0508A">
        <w:rPr>
          <w:rFonts w:asciiTheme="minorHAnsi" w:eastAsiaTheme="minorEastAsia" w:hAnsiTheme="minorHAnsi" w:cstheme="minorBidi"/>
        </w:rPr>
        <w:t xml:space="preserve"> </w:t>
      </w:r>
      <w:r w:rsidRPr="45D0508A">
        <w:rPr>
          <w:rFonts w:asciiTheme="minorHAnsi" w:eastAsiaTheme="minorEastAsia" w:hAnsiTheme="minorHAnsi" w:cstheme="minorBidi"/>
        </w:rPr>
        <w:t>teleinformatycznego odpowiednio do zakresu rozwiązania.</w:t>
      </w:r>
    </w:p>
    <w:p w:rsidR="1AC03EE9" w:rsidRDefault="1AC03EE9" w:rsidP="651818B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00B61D14" w:rsidRPr="00E50002" w:rsidTr="6128C211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487EE3" w:rsidRPr="00E50002" w:rsidRDefault="00487EE3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00487EE3" w:rsidRPr="00E50002" w:rsidRDefault="00487EE3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00487EE3" w:rsidRPr="00E50002" w:rsidRDefault="00487EE3" w:rsidP="00F70AB6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50002">
              <w:rPr>
                <w:rFonts w:asciiTheme="minorHAnsi" w:hAnsiTheme="minorHAnsi" w:cstheme="minorHAnsi"/>
                <w:b/>
                <w:i/>
                <w:color w:val="000000" w:themeColor="text1"/>
              </w:rPr>
              <w:t>Opis znaczenia kryterium</w:t>
            </w:r>
          </w:p>
        </w:tc>
      </w:tr>
      <w:tr w:rsidR="00B61D14" w:rsidRPr="00E50002" w:rsidTr="6128C211">
        <w:tc>
          <w:tcPr>
            <w:tcW w:w="704" w:type="dxa"/>
            <w:shd w:val="clear" w:color="auto" w:fill="D9D9D9" w:themeFill="background1" w:themeFillShade="D9"/>
          </w:tcPr>
          <w:p w:rsidR="00487EE3" w:rsidRPr="00E50002" w:rsidRDefault="00487EE3" w:rsidP="005F587F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00487EE3" w:rsidRPr="00E50002" w:rsidRDefault="00487EE3" w:rsidP="6128C211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</w:pPr>
            <w:r w:rsidRPr="6128C211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  <w:t>Zapewnienie możliwości skutecznej kontroli realizacji projektu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472F19" w:rsidRPr="00472F19" w:rsidDel="009C230D" w:rsidRDefault="00472F19" w:rsidP="00472F19">
            <w:pPr>
              <w:spacing w:before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72F19" w:rsidDel="009C230D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TAK/NIE</w:t>
            </w:r>
          </w:p>
          <w:p w:rsidR="00487EE3" w:rsidRPr="00E50002" w:rsidRDefault="00472F19" w:rsidP="00F70AB6">
            <w:pPr>
              <w:spacing w:after="12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</w:pPr>
            <w:r w:rsidRPr="00472F19" w:rsidDel="009C230D">
              <w:rPr>
                <w:rFonts w:asciiTheme="minorHAnsi" w:eastAsia="Calibri" w:hAnsiTheme="minorHAnsi" w:cstheme="minorHAnsi"/>
                <w:color w:val="000000" w:themeColor="text1"/>
                <w:szCs w:val="22"/>
                <w:lang w:eastAsia="en-US"/>
              </w:rPr>
              <w:t>(niespełnienie kryterium oznacza odrzucenie wniosku)</w:t>
            </w:r>
          </w:p>
        </w:tc>
      </w:tr>
    </w:tbl>
    <w:p w:rsidR="00487EE3" w:rsidRPr="00E50002" w:rsidRDefault="00487EE3" w:rsidP="00F70AB6">
      <w:pPr>
        <w:jc w:val="left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E50002">
        <w:rPr>
          <w:rFonts w:asciiTheme="minorHAnsi" w:hAnsiTheme="minorHAnsi" w:cstheme="minorHAnsi"/>
          <w:b/>
          <w:i/>
          <w:color w:val="000000" w:themeColor="text1"/>
          <w:u w:val="single"/>
        </w:rPr>
        <w:t>Definicja kryterium:</w:t>
      </w:r>
    </w:p>
    <w:p w:rsidR="005116A5" w:rsidRPr="00E50002" w:rsidRDefault="00487EE3" w:rsidP="6128C211">
      <w:pPr>
        <w:spacing w:after="500"/>
        <w:rPr>
          <w:rFonts w:asciiTheme="minorHAnsi" w:hAnsiTheme="minorHAnsi" w:cstheme="minorBid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 xml:space="preserve">Kryterium ma na celu ocenę sposobu zapewnienia terminowości i realności projektu. Ponadto należy opisać planowany sposób raportowania postępu prac oraz przedstawić opis zidentyfikowanych </w:t>
      </w:r>
      <w:proofErr w:type="spellStart"/>
      <w:r w:rsidRPr="6128C211">
        <w:rPr>
          <w:rFonts w:asciiTheme="minorHAnsi" w:hAnsiTheme="minorHAnsi" w:cstheme="minorBidi"/>
          <w:color w:val="000000" w:themeColor="text1"/>
        </w:rPr>
        <w:t>ryzyk</w:t>
      </w:r>
      <w:proofErr w:type="spellEnd"/>
      <w:r w:rsidRPr="6128C211">
        <w:rPr>
          <w:rFonts w:asciiTheme="minorHAnsi" w:hAnsiTheme="minorHAnsi" w:cstheme="minorBidi"/>
          <w:color w:val="000000" w:themeColor="text1"/>
        </w:rPr>
        <w:t xml:space="preserve"> wraz ze środkami zaradczymi oraz sposobem monitorowania i kontroli </w:t>
      </w:r>
      <w:proofErr w:type="spellStart"/>
      <w:r w:rsidRPr="6128C211">
        <w:rPr>
          <w:rFonts w:asciiTheme="minorHAnsi" w:hAnsiTheme="minorHAnsi" w:cstheme="minorBidi"/>
          <w:color w:val="000000" w:themeColor="text1"/>
        </w:rPr>
        <w:t>ryzyk</w:t>
      </w:r>
      <w:proofErr w:type="spellEnd"/>
      <w:r w:rsidRPr="6128C211">
        <w:rPr>
          <w:rFonts w:asciiTheme="minorHAnsi" w:hAnsiTheme="minorHAnsi" w:cstheme="minorBidi"/>
          <w:color w:val="000000" w:themeColor="text1"/>
        </w:rPr>
        <w:t>.</w:t>
      </w:r>
    </w:p>
    <w:p w:rsidR="00487EE3" w:rsidRPr="00E50002" w:rsidRDefault="00487EE3" w:rsidP="0042731C">
      <w:pPr>
        <w:rPr>
          <w:rFonts w:asciiTheme="minorHAnsi" w:hAnsiTheme="minorHAnsi" w:cstheme="minorHAnsi"/>
          <w:color w:val="000000" w:themeColor="text1"/>
        </w:rPr>
      </w:pPr>
      <w:r w:rsidRPr="00E50002">
        <w:rPr>
          <w:rFonts w:asciiTheme="minorHAnsi" w:hAnsiTheme="minorHAnsi" w:cstheme="minorHAnsi"/>
          <w:color w:val="000000" w:themeColor="text1"/>
        </w:rPr>
        <w:t>Kluczowe aspekty oceny:</w:t>
      </w:r>
    </w:p>
    <w:p w:rsidR="00487EE3" w:rsidRPr="00E50002" w:rsidRDefault="008C3B00" w:rsidP="6128C211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Bid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>D</w:t>
      </w:r>
      <w:r w:rsidR="00487EE3" w:rsidRPr="6128C211">
        <w:rPr>
          <w:rFonts w:asciiTheme="minorHAnsi" w:hAnsiTheme="minorHAnsi" w:cstheme="minorBidi"/>
          <w:color w:val="000000" w:themeColor="text1"/>
        </w:rPr>
        <w:t>otrzymanie przedstawionych terminów jest realne dla wskazanych etapów w projekcie</w:t>
      </w:r>
      <w:r w:rsidRPr="6128C211">
        <w:rPr>
          <w:rFonts w:asciiTheme="minorHAnsi" w:hAnsiTheme="minorHAnsi" w:cstheme="minorBidi"/>
          <w:color w:val="000000" w:themeColor="text1"/>
        </w:rPr>
        <w:t>,</w:t>
      </w:r>
    </w:p>
    <w:p w:rsidR="00487EE3" w:rsidRPr="00E50002" w:rsidRDefault="008C3B00" w:rsidP="0042731C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HAns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>P</w:t>
      </w:r>
      <w:r w:rsidR="00487EE3" w:rsidRPr="6128C211">
        <w:rPr>
          <w:rFonts w:asciiTheme="minorHAnsi" w:hAnsiTheme="minorHAnsi" w:cstheme="minorBidi"/>
          <w:color w:val="000000" w:themeColor="text1"/>
        </w:rPr>
        <w:t>rojekt jest wykonalny w przedstawionym harmonogramie dla całego okresu realizacji projektu</w:t>
      </w:r>
      <w:r w:rsidRPr="6128C211">
        <w:rPr>
          <w:rFonts w:asciiTheme="minorHAnsi" w:hAnsiTheme="minorHAnsi" w:cstheme="minorBidi"/>
          <w:color w:val="000000" w:themeColor="text1"/>
        </w:rPr>
        <w:t>,</w:t>
      </w:r>
    </w:p>
    <w:p w:rsidR="00E82271" w:rsidRDefault="008C3B00" w:rsidP="607A5B53">
      <w:pPr>
        <w:pStyle w:val="Akapitzlist"/>
        <w:numPr>
          <w:ilvl w:val="0"/>
          <w:numId w:val="23"/>
        </w:numPr>
        <w:ind w:left="567"/>
        <w:rPr>
          <w:rFonts w:asciiTheme="minorHAnsi" w:hAnsiTheme="minorHAnsi" w:cstheme="minorBidi"/>
          <w:color w:val="000000" w:themeColor="text1"/>
        </w:rPr>
      </w:pPr>
      <w:r w:rsidRPr="6128C211">
        <w:rPr>
          <w:rFonts w:asciiTheme="minorHAnsi" w:hAnsiTheme="minorHAnsi" w:cstheme="minorBidi"/>
          <w:color w:val="000000" w:themeColor="text1"/>
        </w:rPr>
        <w:t>Z</w:t>
      </w:r>
      <w:r w:rsidR="00487EE3" w:rsidRPr="6128C211">
        <w:rPr>
          <w:rFonts w:asciiTheme="minorHAnsi" w:hAnsiTheme="minorHAnsi" w:cstheme="minorBidi"/>
          <w:color w:val="000000" w:themeColor="text1"/>
        </w:rPr>
        <w:t>identyfikowano wszystkie istotne ryzyka w projekcie oraz opisano środki zaradcze</w:t>
      </w:r>
      <w:r w:rsidRPr="6128C211">
        <w:rPr>
          <w:rFonts w:asciiTheme="minorHAnsi" w:hAnsiTheme="minorHAnsi" w:cstheme="minorBidi"/>
          <w:color w:val="000000" w:themeColor="text1"/>
        </w:rPr>
        <w:t>.</w:t>
      </w:r>
    </w:p>
    <w:p w:rsidR="2044A71F" w:rsidRDefault="2044A71F" w:rsidP="2044A71F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5"/>
        <w:gridCol w:w="2683"/>
      </w:tblGrid>
      <w:tr w:rsidR="76E0A8F9" w:rsidTr="76E0A8F9">
        <w:tc>
          <w:tcPr>
            <w:tcW w:w="704" w:type="dxa"/>
            <w:shd w:val="clear" w:color="auto" w:fill="D9D9D9" w:themeFill="background1" w:themeFillShade="D9"/>
            <w:vAlign w:val="center"/>
          </w:tcPr>
          <w:p w:rsidR="14E0FCB2" w:rsidRDefault="14E0FCB2" w:rsidP="76E0A8F9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6E0A8F9">
              <w:rPr>
                <w:rFonts w:asciiTheme="minorHAnsi" w:hAnsiTheme="minorHAnsi" w:cstheme="minorBidi"/>
                <w:b/>
                <w:bCs/>
                <w:i/>
                <w:iCs/>
              </w:rPr>
              <w:t>Lp.</w:t>
            </w:r>
          </w:p>
        </w:tc>
        <w:tc>
          <w:tcPr>
            <w:tcW w:w="5675" w:type="dxa"/>
            <w:shd w:val="clear" w:color="auto" w:fill="F2F2F2" w:themeFill="background1" w:themeFillShade="F2"/>
            <w:vAlign w:val="center"/>
          </w:tcPr>
          <w:p w:rsidR="14E0FCB2" w:rsidRDefault="14E0FCB2" w:rsidP="76E0A8F9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6E0A8F9">
              <w:rPr>
                <w:rFonts w:asciiTheme="minorHAnsi" w:hAnsiTheme="minorHAnsi" w:cstheme="minorBidi"/>
                <w:b/>
                <w:bCs/>
                <w:i/>
                <w:iCs/>
              </w:rPr>
              <w:t>Nazwa kryterium</w:t>
            </w:r>
          </w:p>
        </w:tc>
        <w:tc>
          <w:tcPr>
            <w:tcW w:w="2683" w:type="dxa"/>
            <w:shd w:val="clear" w:color="auto" w:fill="F2F2F2" w:themeFill="background1" w:themeFillShade="F2"/>
            <w:vAlign w:val="center"/>
          </w:tcPr>
          <w:p w:rsidR="14E0FCB2" w:rsidRDefault="14E0FCB2" w:rsidP="76E0A8F9">
            <w:pPr>
              <w:spacing w:before="120" w:after="120" w:line="276" w:lineRule="auto"/>
              <w:jc w:val="left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6E0A8F9">
              <w:rPr>
                <w:rFonts w:asciiTheme="minorHAnsi" w:hAnsiTheme="minorHAnsi" w:cstheme="minorBidi"/>
                <w:b/>
                <w:bCs/>
                <w:i/>
                <w:iCs/>
              </w:rPr>
              <w:t>Opis znaczenia kryterium</w:t>
            </w:r>
          </w:p>
        </w:tc>
      </w:tr>
      <w:tr w:rsidR="76E0A8F9" w:rsidTr="76E0A8F9">
        <w:tc>
          <w:tcPr>
            <w:tcW w:w="704" w:type="dxa"/>
            <w:shd w:val="clear" w:color="auto" w:fill="D9D9D9" w:themeFill="background1" w:themeFillShade="D9"/>
          </w:tcPr>
          <w:p w:rsidR="76E0A8F9" w:rsidRDefault="76E0A8F9" w:rsidP="76E0A8F9">
            <w:pPr>
              <w:pStyle w:val="Akapitzlist"/>
              <w:numPr>
                <w:ilvl w:val="0"/>
                <w:numId w:val="38"/>
              </w:numPr>
              <w:spacing w:before="120" w:after="120" w:line="276" w:lineRule="auto"/>
              <w:jc w:val="left"/>
              <w:rPr>
                <w:rFonts w:asciiTheme="minorHAnsi" w:hAnsiTheme="minorHAnsi" w:cstheme="minorBidi"/>
                <w:color w:val="000000" w:themeColor="text1"/>
              </w:rPr>
            </w:pPr>
          </w:p>
        </w:tc>
        <w:tc>
          <w:tcPr>
            <w:tcW w:w="5675" w:type="dxa"/>
            <w:shd w:val="clear" w:color="auto" w:fill="F2F2F2" w:themeFill="background1" w:themeFillShade="F2"/>
          </w:tcPr>
          <w:p w:rsidR="14E0FCB2" w:rsidRDefault="67E4B57C" w:rsidP="76E0A8F9">
            <w:pPr>
              <w:spacing w:before="120" w:after="120" w:line="276" w:lineRule="auto"/>
              <w:jc w:val="left"/>
              <w:rPr>
                <w:b/>
                <w:color w:val="000000" w:themeColor="text1"/>
                <w:sz w:val="26"/>
                <w:szCs w:val="26"/>
              </w:rPr>
            </w:pPr>
            <w:r w:rsidRPr="67E4B57C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  <w:t xml:space="preserve">Kamienie </w:t>
            </w:r>
            <w:r w:rsidR="76454910" w:rsidRPr="76454910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</w:rPr>
              <w:t>milowe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122916D4" w:rsidRDefault="122916D4" w:rsidP="76E0A8F9">
            <w:pPr>
              <w:spacing w:before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76E0A8F9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TAK/NIE</w:t>
            </w:r>
          </w:p>
          <w:p w:rsidR="122916D4" w:rsidRDefault="122916D4" w:rsidP="76E0A8F9">
            <w:pPr>
              <w:spacing w:after="120" w:line="276" w:lineRule="auto"/>
              <w:jc w:val="left"/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</w:pPr>
            <w:r w:rsidRPr="76E0A8F9">
              <w:rPr>
                <w:rFonts w:asciiTheme="minorHAnsi" w:eastAsia="Calibri" w:hAnsiTheme="minorHAnsi" w:cstheme="minorBidi"/>
                <w:color w:val="000000" w:themeColor="text1"/>
                <w:lang w:eastAsia="en-US"/>
              </w:rPr>
              <w:t>(niespełnienie kryterium oznacza odrzucenie wniosku)</w:t>
            </w:r>
          </w:p>
        </w:tc>
      </w:tr>
    </w:tbl>
    <w:p w:rsidR="588C1B7E" w:rsidRDefault="588C1B7E" w:rsidP="588C1B7E">
      <w:pPr>
        <w:rPr>
          <w:color w:val="000000" w:themeColor="text1"/>
        </w:rPr>
      </w:pPr>
    </w:p>
    <w:p w:rsidR="00E82271" w:rsidRDefault="038DA12E" w:rsidP="00F941B5">
      <w:r w:rsidRPr="038DA12E">
        <w:rPr>
          <w:rFonts w:ascii="Calibri" w:eastAsia="Calibri" w:hAnsi="Calibri" w:cs="Calibri"/>
          <w:b/>
          <w:bCs/>
          <w:i/>
          <w:iCs/>
          <w:color w:val="242424"/>
          <w:sz w:val="21"/>
          <w:szCs w:val="21"/>
          <w:u w:val="single"/>
        </w:rPr>
        <w:t>Definicja kryterium:</w:t>
      </w:r>
    </w:p>
    <w:p w:rsidR="00E82271" w:rsidRDefault="038DA12E" w:rsidP="00F941B5">
      <w:r w:rsidRPr="038DA12E">
        <w:rPr>
          <w:rFonts w:ascii="Calibri" w:eastAsia="Calibri" w:hAnsi="Calibri" w:cs="Calibri"/>
          <w:color w:val="242424"/>
          <w:szCs w:val="22"/>
        </w:rPr>
        <w:t>Wnioskodawca zaplanował stosowne do zakresu projektu kamienie milowe powiązane z etapami realizacji projektu umożliwiające skuteczną kontrolę postępów jego realizacji.</w:t>
      </w:r>
    </w:p>
    <w:p w:rsidR="00E82271" w:rsidRDefault="00E82271" w:rsidP="00F941B5">
      <w:pPr>
        <w:rPr>
          <w:color w:val="000000" w:themeColor="text1"/>
        </w:rPr>
      </w:pPr>
    </w:p>
    <w:p w:rsidR="00DB285C" w:rsidRPr="00E50002" w:rsidRDefault="34CF969C" w:rsidP="0061150A">
      <w:pPr>
        <w:spacing w:line="266" w:lineRule="auto"/>
      </w:pPr>
      <w:r w:rsidRPr="6128C211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 </w:t>
      </w:r>
    </w:p>
    <w:sectPr w:rsidR="00DB285C" w:rsidRPr="00E500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C2E" w:rsidRDefault="008F5C2E" w:rsidP="00727204">
      <w:pPr>
        <w:spacing w:line="240" w:lineRule="auto"/>
      </w:pPr>
      <w:r>
        <w:separator/>
      </w:r>
    </w:p>
  </w:endnote>
  <w:endnote w:type="continuationSeparator" w:id="0">
    <w:p w:rsidR="008F5C2E" w:rsidRDefault="008F5C2E" w:rsidP="00727204">
      <w:pPr>
        <w:spacing w:line="240" w:lineRule="auto"/>
      </w:pPr>
      <w:r>
        <w:continuationSeparator/>
      </w:r>
    </w:p>
  </w:endnote>
  <w:endnote w:type="continuationNotice" w:id="1">
    <w:p w:rsidR="008F5C2E" w:rsidRDefault="008F5C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104418"/>
      <w:docPartObj>
        <w:docPartGallery w:val="Page Numbers (Bottom of Page)"/>
        <w:docPartUnique/>
      </w:docPartObj>
    </w:sdtPr>
    <w:sdtEndPr/>
    <w:sdtContent>
      <w:p w:rsidR="00B06473" w:rsidRDefault="00B064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FE6">
          <w:rPr>
            <w:noProof/>
          </w:rPr>
          <w:t>13</w:t>
        </w:r>
        <w:r>
          <w:fldChar w:fldCharType="end"/>
        </w:r>
      </w:p>
    </w:sdtContent>
  </w:sdt>
  <w:p w:rsidR="00B06473" w:rsidRDefault="00B06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C2E" w:rsidRDefault="008F5C2E" w:rsidP="00727204">
      <w:pPr>
        <w:spacing w:line="240" w:lineRule="auto"/>
      </w:pPr>
      <w:r>
        <w:separator/>
      </w:r>
    </w:p>
  </w:footnote>
  <w:footnote w:type="continuationSeparator" w:id="0">
    <w:p w:rsidR="008F5C2E" w:rsidRDefault="008F5C2E" w:rsidP="00727204">
      <w:pPr>
        <w:spacing w:line="240" w:lineRule="auto"/>
      </w:pPr>
      <w:r>
        <w:continuationSeparator/>
      </w:r>
    </w:p>
  </w:footnote>
  <w:footnote w:type="continuationNotice" w:id="1">
    <w:p w:rsidR="008F5C2E" w:rsidRDefault="008F5C2E">
      <w:pPr>
        <w:spacing w:line="240" w:lineRule="auto"/>
      </w:pPr>
    </w:p>
  </w:footnote>
  <w:footnote w:id="2">
    <w:p w:rsidR="00B06473" w:rsidRDefault="00B064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41B5">
        <w:rPr>
          <w:rFonts w:asciiTheme="minorHAnsi" w:hAnsiTheme="minorHAnsi" w:cstheme="minorHAnsi"/>
        </w:rPr>
        <w:t xml:space="preserve">Szczegółowy opis osi priorytetowych Programu Operacyjnego Polska Cyfrowa na lata 2014-2020 </w:t>
      </w:r>
      <w:r w:rsidRPr="00F941B5">
        <w:rPr>
          <w:rFonts w:asciiTheme="minorHAnsi" w:hAnsiTheme="minorHAnsi" w:cstheme="minorHAnsi"/>
        </w:rPr>
        <w:br/>
        <w:t>w wersji aktualnej na moment wezwania wnioskodawcy do złożenia wniosku o dofinansowanie.</w:t>
      </w:r>
    </w:p>
  </w:footnote>
  <w:footnote w:id="3">
    <w:p w:rsidR="00B06473" w:rsidRPr="00BA64DB" w:rsidRDefault="00B06473" w:rsidP="009642D8">
      <w:pPr>
        <w:pStyle w:val="Tekstprzypisudolnego"/>
        <w:rPr>
          <w:rFonts w:asciiTheme="minorHAnsi" w:hAnsiTheme="minorHAnsi"/>
        </w:rPr>
      </w:pPr>
      <w:r w:rsidRPr="00BA64DB">
        <w:rPr>
          <w:rStyle w:val="Odwoanieprzypisudolnego"/>
          <w:rFonts w:asciiTheme="minorHAnsi" w:hAnsiTheme="minorHAnsi"/>
        </w:rPr>
        <w:footnoteRef/>
      </w:r>
      <w:r w:rsidRPr="00BA64DB">
        <w:rPr>
          <w:rFonts w:asciiTheme="minorHAnsi" w:hAnsiTheme="minorHAnsi"/>
        </w:rPr>
        <w:t xml:space="preserve"> Rozbieżność może wynosić do 15%.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D238C"/>
    <w:multiLevelType w:val="hybridMultilevel"/>
    <w:tmpl w:val="FA262D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D6E"/>
    <w:multiLevelType w:val="hybridMultilevel"/>
    <w:tmpl w:val="825EC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39A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8BE"/>
    <w:multiLevelType w:val="hybridMultilevel"/>
    <w:tmpl w:val="28BCF98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B1D57"/>
    <w:multiLevelType w:val="hybridMultilevel"/>
    <w:tmpl w:val="AAD65310"/>
    <w:lvl w:ilvl="0" w:tplc="CD664E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3E67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58BD"/>
    <w:multiLevelType w:val="hybridMultilevel"/>
    <w:tmpl w:val="751E8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3ABA"/>
    <w:multiLevelType w:val="hybridMultilevel"/>
    <w:tmpl w:val="6C2650B2"/>
    <w:lvl w:ilvl="0" w:tplc="E7D8D1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57DB4"/>
    <w:multiLevelType w:val="hybridMultilevel"/>
    <w:tmpl w:val="5016E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6376"/>
    <w:multiLevelType w:val="hybridMultilevel"/>
    <w:tmpl w:val="E91A1974"/>
    <w:lvl w:ilvl="0" w:tplc="0415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27A23834"/>
    <w:multiLevelType w:val="hybridMultilevel"/>
    <w:tmpl w:val="7CC65D4A"/>
    <w:lvl w:ilvl="0" w:tplc="0EA054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EE7373"/>
    <w:multiLevelType w:val="hybridMultilevel"/>
    <w:tmpl w:val="9F284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4BF2"/>
    <w:multiLevelType w:val="hybridMultilevel"/>
    <w:tmpl w:val="7E0E77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E54D9"/>
    <w:multiLevelType w:val="hybridMultilevel"/>
    <w:tmpl w:val="7C684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754"/>
    <w:multiLevelType w:val="hybridMultilevel"/>
    <w:tmpl w:val="884C32D4"/>
    <w:lvl w:ilvl="0" w:tplc="F864C1A6">
      <w:start w:val="1"/>
      <w:numFmt w:val="lowerLetter"/>
      <w:lvlText w:val="%1)"/>
      <w:lvlJc w:val="left"/>
      <w:pPr>
        <w:ind w:left="152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251EF"/>
    <w:multiLevelType w:val="hybridMultilevel"/>
    <w:tmpl w:val="0C44D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1667"/>
    <w:multiLevelType w:val="hybridMultilevel"/>
    <w:tmpl w:val="904AE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8482D"/>
    <w:multiLevelType w:val="hybridMultilevel"/>
    <w:tmpl w:val="88383DBA"/>
    <w:lvl w:ilvl="0" w:tplc="852A06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A44AA5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E7FD6"/>
    <w:multiLevelType w:val="hybridMultilevel"/>
    <w:tmpl w:val="0846E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16D9"/>
    <w:multiLevelType w:val="hybridMultilevel"/>
    <w:tmpl w:val="FFFFFFFF"/>
    <w:lvl w:ilvl="0" w:tplc="58C0502E">
      <w:start w:val="1"/>
      <w:numFmt w:val="decimal"/>
      <w:lvlText w:val="%1."/>
      <w:lvlJc w:val="left"/>
      <w:pPr>
        <w:ind w:left="720" w:hanging="360"/>
      </w:pPr>
    </w:lvl>
    <w:lvl w:ilvl="1" w:tplc="88E05A60">
      <w:start w:val="1"/>
      <w:numFmt w:val="lowerLetter"/>
      <w:lvlText w:val="%2."/>
      <w:lvlJc w:val="left"/>
      <w:pPr>
        <w:ind w:left="1440" w:hanging="360"/>
      </w:pPr>
    </w:lvl>
    <w:lvl w:ilvl="2" w:tplc="7DEE7B86">
      <w:start w:val="1"/>
      <w:numFmt w:val="lowerRoman"/>
      <w:lvlText w:val="%3."/>
      <w:lvlJc w:val="right"/>
      <w:pPr>
        <w:ind w:left="2160" w:hanging="180"/>
      </w:pPr>
    </w:lvl>
    <w:lvl w:ilvl="3" w:tplc="5D50498C">
      <w:start w:val="1"/>
      <w:numFmt w:val="decimal"/>
      <w:lvlText w:val="%4."/>
      <w:lvlJc w:val="left"/>
      <w:pPr>
        <w:ind w:left="2880" w:hanging="360"/>
      </w:pPr>
    </w:lvl>
    <w:lvl w:ilvl="4" w:tplc="11624838">
      <w:start w:val="1"/>
      <w:numFmt w:val="lowerLetter"/>
      <w:lvlText w:val="%5."/>
      <w:lvlJc w:val="left"/>
      <w:pPr>
        <w:ind w:left="3600" w:hanging="360"/>
      </w:pPr>
    </w:lvl>
    <w:lvl w:ilvl="5" w:tplc="13E6C1BA">
      <w:start w:val="1"/>
      <w:numFmt w:val="lowerRoman"/>
      <w:lvlText w:val="%6."/>
      <w:lvlJc w:val="right"/>
      <w:pPr>
        <w:ind w:left="4320" w:hanging="180"/>
      </w:pPr>
    </w:lvl>
    <w:lvl w:ilvl="6" w:tplc="9BE677AE">
      <w:start w:val="1"/>
      <w:numFmt w:val="decimal"/>
      <w:lvlText w:val="%7."/>
      <w:lvlJc w:val="left"/>
      <w:pPr>
        <w:ind w:left="5040" w:hanging="360"/>
      </w:pPr>
    </w:lvl>
    <w:lvl w:ilvl="7" w:tplc="DDA24AB0">
      <w:start w:val="1"/>
      <w:numFmt w:val="lowerLetter"/>
      <w:lvlText w:val="%8."/>
      <w:lvlJc w:val="left"/>
      <w:pPr>
        <w:ind w:left="5760" w:hanging="360"/>
      </w:pPr>
    </w:lvl>
    <w:lvl w:ilvl="8" w:tplc="B720FB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4588B"/>
    <w:multiLevelType w:val="hybridMultilevel"/>
    <w:tmpl w:val="B9102CC0"/>
    <w:lvl w:ilvl="0" w:tplc="965AA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3005EE"/>
    <w:multiLevelType w:val="hybridMultilevel"/>
    <w:tmpl w:val="FFFFFFFF"/>
    <w:lvl w:ilvl="0" w:tplc="AD5AF722">
      <w:start w:val="1"/>
      <w:numFmt w:val="decimal"/>
      <w:lvlText w:val="%1."/>
      <w:lvlJc w:val="left"/>
      <w:pPr>
        <w:ind w:left="720" w:hanging="360"/>
      </w:pPr>
    </w:lvl>
    <w:lvl w:ilvl="1" w:tplc="712ACE0A">
      <w:start w:val="1"/>
      <w:numFmt w:val="lowerLetter"/>
      <w:lvlText w:val="%2."/>
      <w:lvlJc w:val="left"/>
      <w:pPr>
        <w:ind w:left="1440" w:hanging="360"/>
      </w:pPr>
    </w:lvl>
    <w:lvl w:ilvl="2" w:tplc="E92CE040">
      <w:start w:val="1"/>
      <w:numFmt w:val="lowerRoman"/>
      <w:lvlText w:val="%3."/>
      <w:lvlJc w:val="right"/>
      <w:pPr>
        <w:ind w:left="2160" w:hanging="180"/>
      </w:pPr>
    </w:lvl>
    <w:lvl w:ilvl="3" w:tplc="97121C0C">
      <w:start w:val="1"/>
      <w:numFmt w:val="decimal"/>
      <w:lvlText w:val="%4."/>
      <w:lvlJc w:val="left"/>
      <w:pPr>
        <w:ind w:left="2880" w:hanging="360"/>
      </w:pPr>
    </w:lvl>
    <w:lvl w:ilvl="4" w:tplc="3E3E5E72">
      <w:start w:val="1"/>
      <w:numFmt w:val="lowerLetter"/>
      <w:lvlText w:val="%5."/>
      <w:lvlJc w:val="left"/>
      <w:pPr>
        <w:ind w:left="3600" w:hanging="360"/>
      </w:pPr>
    </w:lvl>
    <w:lvl w:ilvl="5" w:tplc="BE5C5000">
      <w:start w:val="1"/>
      <w:numFmt w:val="lowerRoman"/>
      <w:lvlText w:val="%6."/>
      <w:lvlJc w:val="right"/>
      <w:pPr>
        <w:ind w:left="4320" w:hanging="180"/>
      </w:pPr>
    </w:lvl>
    <w:lvl w:ilvl="6" w:tplc="79B0EDEC">
      <w:start w:val="1"/>
      <w:numFmt w:val="decimal"/>
      <w:lvlText w:val="%7."/>
      <w:lvlJc w:val="left"/>
      <w:pPr>
        <w:ind w:left="5040" w:hanging="360"/>
      </w:pPr>
    </w:lvl>
    <w:lvl w:ilvl="7" w:tplc="FACC0866">
      <w:start w:val="1"/>
      <w:numFmt w:val="lowerLetter"/>
      <w:lvlText w:val="%8."/>
      <w:lvlJc w:val="left"/>
      <w:pPr>
        <w:ind w:left="5760" w:hanging="360"/>
      </w:pPr>
    </w:lvl>
    <w:lvl w:ilvl="8" w:tplc="9188A23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87DC0"/>
    <w:multiLevelType w:val="hybridMultilevel"/>
    <w:tmpl w:val="7CC65D4A"/>
    <w:lvl w:ilvl="0" w:tplc="0EA054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5F1E3D"/>
    <w:multiLevelType w:val="hybridMultilevel"/>
    <w:tmpl w:val="8A28A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4760A"/>
    <w:multiLevelType w:val="hybridMultilevel"/>
    <w:tmpl w:val="540E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C60FA"/>
    <w:multiLevelType w:val="hybridMultilevel"/>
    <w:tmpl w:val="5DF4B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E4AE0"/>
    <w:multiLevelType w:val="hybridMultilevel"/>
    <w:tmpl w:val="5BEAB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D48E7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06B6"/>
    <w:multiLevelType w:val="hybridMultilevel"/>
    <w:tmpl w:val="3E92E148"/>
    <w:lvl w:ilvl="0" w:tplc="DFA6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A02CC2"/>
    <w:multiLevelType w:val="hybridMultilevel"/>
    <w:tmpl w:val="9C8ADF3E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67864682"/>
    <w:multiLevelType w:val="hybridMultilevel"/>
    <w:tmpl w:val="70168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14FA3"/>
    <w:multiLevelType w:val="hybridMultilevel"/>
    <w:tmpl w:val="EF2C27B0"/>
    <w:lvl w:ilvl="0" w:tplc="0EECD4F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0AE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69F2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ECD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AED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055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EA22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E64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821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1C1D7C"/>
    <w:multiLevelType w:val="hybridMultilevel"/>
    <w:tmpl w:val="CF5454F2"/>
    <w:lvl w:ilvl="0" w:tplc="2948F5B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1104D"/>
    <w:multiLevelType w:val="hybridMultilevel"/>
    <w:tmpl w:val="B3A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860C4"/>
    <w:multiLevelType w:val="hybridMultilevel"/>
    <w:tmpl w:val="F6F6F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E39E9"/>
    <w:multiLevelType w:val="hybridMultilevel"/>
    <w:tmpl w:val="B248F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A5984"/>
    <w:multiLevelType w:val="hybridMultilevel"/>
    <w:tmpl w:val="BEF8C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C6BE6"/>
    <w:multiLevelType w:val="hybridMultilevel"/>
    <w:tmpl w:val="E54E6E6C"/>
    <w:lvl w:ilvl="0" w:tplc="B2501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35"/>
  </w:num>
  <w:num w:numId="5">
    <w:abstractNumId w:val="17"/>
  </w:num>
  <w:num w:numId="6">
    <w:abstractNumId w:val="29"/>
  </w:num>
  <w:num w:numId="7">
    <w:abstractNumId w:val="39"/>
  </w:num>
  <w:num w:numId="8">
    <w:abstractNumId w:val="11"/>
  </w:num>
  <w:num w:numId="9">
    <w:abstractNumId w:val="31"/>
  </w:num>
  <w:num w:numId="10">
    <w:abstractNumId w:val="14"/>
  </w:num>
  <w:num w:numId="11">
    <w:abstractNumId w:val="36"/>
  </w:num>
  <w:num w:numId="12">
    <w:abstractNumId w:val="1"/>
  </w:num>
  <w:num w:numId="13">
    <w:abstractNumId w:val="2"/>
  </w:num>
  <w:num w:numId="14">
    <w:abstractNumId w:val="20"/>
  </w:num>
  <w:num w:numId="15">
    <w:abstractNumId w:val="19"/>
  </w:num>
  <w:num w:numId="16">
    <w:abstractNumId w:val="18"/>
  </w:num>
  <w:num w:numId="17">
    <w:abstractNumId w:val="4"/>
  </w:num>
  <w:num w:numId="18">
    <w:abstractNumId w:val="27"/>
  </w:num>
  <w:num w:numId="19">
    <w:abstractNumId w:val="28"/>
  </w:num>
  <w:num w:numId="20">
    <w:abstractNumId w:val="25"/>
  </w:num>
  <w:num w:numId="21">
    <w:abstractNumId w:val="12"/>
  </w:num>
  <w:num w:numId="22">
    <w:abstractNumId w:val="38"/>
  </w:num>
  <w:num w:numId="23">
    <w:abstractNumId w:val="26"/>
  </w:num>
  <w:num w:numId="24">
    <w:abstractNumId w:val="6"/>
  </w:num>
  <w:num w:numId="25">
    <w:abstractNumId w:val="9"/>
  </w:num>
  <w:num w:numId="26">
    <w:abstractNumId w:val="32"/>
  </w:num>
  <w:num w:numId="27">
    <w:abstractNumId w:val="15"/>
  </w:num>
  <w:num w:numId="28">
    <w:abstractNumId w:val="7"/>
  </w:num>
  <w:num w:numId="29">
    <w:abstractNumId w:val="37"/>
  </w:num>
  <w:num w:numId="30">
    <w:abstractNumId w:val="16"/>
  </w:num>
  <w:num w:numId="31">
    <w:abstractNumId w:val="5"/>
  </w:num>
  <w:num w:numId="32">
    <w:abstractNumId w:val="8"/>
  </w:num>
  <w:num w:numId="33">
    <w:abstractNumId w:val="22"/>
  </w:num>
  <w:num w:numId="34">
    <w:abstractNumId w:val="30"/>
  </w:num>
  <w:num w:numId="35">
    <w:abstractNumId w:val="33"/>
  </w:num>
  <w:num w:numId="36">
    <w:abstractNumId w:val="10"/>
  </w:num>
  <w:num w:numId="37">
    <w:abstractNumId w:val="24"/>
  </w:num>
  <w:num w:numId="38">
    <w:abstractNumId w:val="34"/>
  </w:num>
  <w:num w:numId="39">
    <w:abstractNumId w:val="2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F8"/>
    <w:rsid w:val="00001181"/>
    <w:rsid w:val="00004EE3"/>
    <w:rsid w:val="00011E95"/>
    <w:rsid w:val="000133D4"/>
    <w:rsid w:val="00014C4B"/>
    <w:rsid w:val="000206C6"/>
    <w:rsid w:val="00027947"/>
    <w:rsid w:val="000347D7"/>
    <w:rsid w:val="000353A3"/>
    <w:rsid w:val="000358E2"/>
    <w:rsid w:val="00042656"/>
    <w:rsid w:val="00056AD6"/>
    <w:rsid w:val="00056C07"/>
    <w:rsid w:val="000667F3"/>
    <w:rsid w:val="00070D10"/>
    <w:rsid w:val="00075618"/>
    <w:rsid w:val="000863D9"/>
    <w:rsid w:val="000938F8"/>
    <w:rsid w:val="000945C0"/>
    <w:rsid w:val="000A481D"/>
    <w:rsid w:val="000A62C3"/>
    <w:rsid w:val="000A7B75"/>
    <w:rsid w:val="000D30FA"/>
    <w:rsid w:val="000D5980"/>
    <w:rsid w:val="000D6071"/>
    <w:rsid w:val="000D74C9"/>
    <w:rsid w:val="000D7E2C"/>
    <w:rsid w:val="000E38CD"/>
    <w:rsid w:val="000F33CC"/>
    <w:rsid w:val="0010101C"/>
    <w:rsid w:val="001074AB"/>
    <w:rsid w:val="0011375F"/>
    <w:rsid w:val="0011471A"/>
    <w:rsid w:val="00121D36"/>
    <w:rsid w:val="00121F05"/>
    <w:rsid w:val="00122D5A"/>
    <w:rsid w:val="001250A7"/>
    <w:rsid w:val="00136C02"/>
    <w:rsid w:val="00137D7F"/>
    <w:rsid w:val="00143F4F"/>
    <w:rsid w:val="00145638"/>
    <w:rsid w:val="00153997"/>
    <w:rsid w:val="0016068B"/>
    <w:rsid w:val="001623C5"/>
    <w:rsid w:val="001747A6"/>
    <w:rsid w:val="00174910"/>
    <w:rsid w:val="00185E2B"/>
    <w:rsid w:val="001938D1"/>
    <w:rsid w:val="001A0307"/>
    <w:rsid w:val="001B3AF4"/>
    <w:rsid w:val="001C594F"/>
    <w:rsid w:val="001C5E53"/>
    <w:rsid w:val="001C7718"/>
    <w:rsid w:val="001D1BBD"/>
    <w:rsid w:val="001D1F34"/>
    <w:rsid w:val="001D2751"/>
    <w:rsid w:val="001D2964"/>
    <w:rsid w:val="001D49BE"/>
    <w:rsid w:val="001D595B"/>
    <w:rsid w:val="001D6933"/>
    <w:rsid w:val="001D69E9"/>
    <w:rsid w:val="001E167C"/>
    <w:rsid w:val="001E4395"/>
    <w:rsid w:val="001E4BA4"/>
    <w:rsid w:val="001E61F0"/>
    <w:rsid w:val="001E63FC"/>
    <w:rsid w:val="001F4850"/>
    <w:rsid w:val="001F638B"/>
    <w:rsid w:val="002014B0"/>
    <w:rsid w:val="002017DD"/>
    <w:rsid w:val="00204184"/>
    <w:rsid w:val="0020717C"/>
    <w:rsid w:val="00210EB3"/>
    <w:rsid w:val="00214E0B"/>
    <w:rsid w:val="002170B0"/>
    <w:rsid w:val="00231D7E"/>
    <w:rsid w:val="00234F97"/>
    <w:rsid w:val="002403C0"/>
    <w:rsid w:val="002442EE"/>
    <w:rsid w:val="00246CA5"/>
    <w:rsid w:val="002523A7"/>
    <w:rsid w:val="00262E58"/>
    <w:rsid w:val="00270C1C"/>
    <w:rsid w:val="00281E91"/>
    <w:rsid w:val="00282181"/>
    <w:rsid w:val="00286BA4"/>
    <w:rsid w:val="0029059D"/>
    <w:rsid w:val="00290A6D"/>
    <w:rsid w:val="00293287"/>
    <w:rsid w:val="002B0C01"/>
    <w:rsid w:val="002B2FD4"/>
    <w:rsid w:val="002B364D"/>
    <w:rsid w:val="002B7465"/>
    <w:rsid w:val="002C146E"/>
    <w:rsid w:val="002C1F6C"/>
    <w:rsid w:val="002C4904"/>
    <w:rsid w:val="002C4E7D"/>
    <w:rsid w:val="002E016A"/>
    <w:rsid w:val="002E5583"/>
    <w:rsid w:val="002F073C"/>
    <w:rsid w:val="002F282B"/>
    <w:rsid w:val="002F510D"/>
    <w:rsid w:val="002F593A"/>
    <w:rsid w:val="00305EFA"/>
    <w:rsid w:val="00310CC0"/>
    <w:rsid w:val="0031455E"/>
    <w:rsid w:val="003145DA"/>
    <w:rsid w:val="00320F4B"/>
    <w:rsid w:val="0032489B"/>
    <w:rsid w:val="00335DB4"/>
    <w:rsid w:val="0034328B"/>
    <w:rsid w:val="00346690"/>
    <w:rsid w:val="00356AF3"/>
    <w:rsid w:val="00362551"/>
    <w:rsid w:val="00367AD1"/>
    <w:rsid w:val="00380210"/>
    <w:rsid w:val="0039283C"/>
    <w:rsid w:val="003A0251"/>
    <w:rsid w:val="003A0AED"/>
    <w:rsid w:val="003A681E"/>
    <w:rsid w:val="003A6D72"/>
    <w:rsid w:val="003A74E7"/>
    <w:rsid w:val="003A7E8E"/>
    <w:rsid w:val="003B39ED"/>
    <w:rsid w:val="003C4681"/>
    <w:rsid w:val="003D3FE9"/>
    <w:rsid w:val="003D795F"/>
    <w:rsid w:val="003E02E7"/>
    <w:rsid w:val="003E5D77"/>
    <w:rsid w:val="003E7BE6"/>
    <w:rsid w:val="003F0B51"/>
    <w:rsid w:val="003F14DB"/>
    <w:rsid w:val="003F2638"/>
    <w:rsid w:val="003F390A"/>
    <w:rsid w:val="0040300B"/>
    <w:rsid w:val="004041CC"/>
    <w:rsid w:val="00404ED5"/>
    <w:rsid w:val="00412FF5"/>
    <w:rsid w:val="004159DC"/>
    <w:rsid w:val="00415DE8"/>
    <w:rsid w:val="004167D1"/>
    <w:rsid w:val="00420E3A"/>
    <w:rsid w:val="00421052"/>
    <w:rsid w:val="004242D3"/>
    <w:rsid w:val="004250CC"/>
    <w:rsid w:val="00426DFE"/>
    <w:rsid w:val="0042731C"/>
    <w:rsid w:val="00427B78"/>
    <w:rsid w:val="00432EE1"/>
    <w:rsid w:val="0043536E"/>
    <w:rsid w:val="00441AC2"/>
    <w:rsid w:val="004439C0"/>
    <w:rsid w:val="0044593D"/>
    <w:rsid w:val="00451FF0"/>
    <w:rsid w:val="00455B60"/>
    <w:rsid w:val="0045752F"/>
    <w:rsid w:val="004614E7"/>
    <w:rsid w:val="0046487D"/>
    <w:rsid w:val="00465C36"/>
    <w:rsid w:val="004662C4"/>
    <w:rsid w:val="004700CC"/>
    <w:rsid w:val="00472F19"/>
    <w:rsid w:val="004744BC"/>
    <w:rsid w:val="00475464"/>
    <w:rsid w:val="004761A1"/>
    <w:rsid w:val="00476958"/>
    <w:rsid w:val="00486133"/>
    <w:rsid w:val="004876ED"/>
    <w:rsid w:val="00487EE3"/>
    <w:rsid w:val="00491786"/>
    <w:rsid w:val="00491DF8"/>
    <w:rsid w:val="00494294"/>
    <w:rsid w:val="00495B67"/>
    <w:rsid w:val="004A444F"/>
    <w:rsid w:val="004A52EA"/>
    <w:rsid w:val="004A64EF"/>
    <w:rsid w:val="004B24FD"/>
    <w:rsid w:val="004B7D0A"/>
    <w:rsid w:val="004C3F21"/>
    <w:rsid w:val="004C497F"/>
    <w:rsid w:val="004D3E99"/>
    <w:rsid w:val="004D473E"/>
    <w:rsid w:val="004D7FFE"/>
    <w:rsid w:val="004F2FB2"/>
    <w:rsid w:val="004F3081"/>
    <w:rsid w:val="004F40BD"/>
    <w:rsid w:val="004F6DD3"/>
    <w:rsid w:val="00500123"/>
    <w:rsid w:val="00501E73"/>
    <w:rsid w:val="005116A5"/>
    <w:rsid w:val="0051462F"/>
    <w:rsid w:val="005238C6"/>
    <w:rsid w:val="005245A8"/>
    <w:rsid w:val="00526DA9"/>
    <w:rsid w:val="00534249"/>
    <w:rsid w:val="0053497C"/>
    <w:rsid w:val="00535679"/>
    <w:rsid w:val="0054584C"/>
    <w:rsid w:val="005468A5"/>
    <w:rsid w:val="00550F4E"/>
    <w:rsid w:val="00551221"/>
    <w:rsid w:val="00552D69"/>
    <w:rsid w:val="00562675"/>
    <w:rsid w:val="005647B4"/>
    <w:rsid w:val="00573B2C"/>
    <w:rsid w:val="005746E2"/>
    <w:rsid w:val="00574E24"/>
    <w:rsid w:val="00576946"/>
    <w:rsid w:val="00576BA3"/>
    <w:rsid w:val="00581327"/>
    <w:rsid w:val="00582C74"/>
    <w:rsid w:val="0058605B"/>
    <w:rsid w:val="00590D8A"/>
    <w:rsid w:val="005A2B59"/>
    <w:rsid w:val="005A6CF2"/>
    <w:rsid w:val="005C1506"/>
    <w:rsid w:val="005C3C41"/>
    <w:rsid w:val="005C484A"/>
    <w:rsid w:val="005D284F"/>
    <w:rsid w:val="005D570E"/>
    <w:rsid w:val="005D644D"/>
    <w:rsid w:val="005E114F"/>
    <w:rsid w:val="005E28D0"/>
    <w:rsid w:val="005E317F"/>
    <w:rsid w:val="005E3460"/>
    <w:rsid w:val="005E3E1B"/>
    <w:rsid w:val="005E44B2"/>
    <w:rsid w:val="005E4874"/>
    <w:rsid w:val="005E6439"/>
    <w:rsid w:val="005F3FE4"/>
    <w:rsid w:val="005F5023"/>
    <w:rsid w:val="005F5212"/>
    <w:rsid w:val="005F587F"/>
    <w:rsid w:val="005F66B7"/>
    <w:rsid w:val="005F6853"/>
    <w:rsid w:val="00605CAE"/>
    <w:rsid w:val="0060766A"/>
    <w:rsid w:val="0061150A"/>
    <w:rsid w:val="0061279F"/>
    <w:rsid w:val="006166D4"/>
    <w:rsid w:val="006179EB"/>
    <w:rsid w:val="006210D1"/>
    <w:rsid w:val="0062614E"/>
    <w:rsid w:val="00633E97"/>
    <w:rsid w:val="00633EB3"/>
    <w:rsid w:val="006513C5"/>
    <w:rsid w:val="0065300F"/>
    <w:rsid w:val="00654643"/>
    <w:rsid w:val="006670F6"/>
    <w:rsid w:val="006740C7"/>
    <w:rsid w:val="0067567D"/>
    <w:rsid w:val="006852C9"/>
    <w:rsid w:val="006A0267"/>
    <w:rsid w:val="006B0A84"/>
    <w:rsid w:val="006B3F8D"/>
    <w:rsid w:val="006C0D29"/>
    <w:rsid w:val="006C45FB"/>
    <w:rsid w:val="006C5B1B"/>
    <w:rsid w:val="006D3A73"/>
    <w:rsid w:val="006E0244"/>
    <w:rsid w:val="006E1984"/>
    <w:rsid w:val="006E27AA"/>
    <w:rsid w:val="006E3BFB"/>
    <w:rsid w:val="006E3D6C"/>
    <w:rsid w:val="006E42CD"/>
    <w:rsid w:val="006F0E19"/>
    <w:rsid w:val="006F1909"/>
    <w:rsid w:val="006F33BA"/>
    <w:rsid w:val="00701CEC"/>
    <w:rsid w:val="00707997"/>
    <w:rsid w:val="0072243C"/>
    <w:rsid w:val="00727204"/>
    <w:rsid w:val="00733D5E"/>
    <w:rsid w:val="0073749D"/>
    <w:rsid w:val="007460C7"/>
    <w:rsid w:val="007464E4"/>
    <w:rsid w:val="0075172D"/>
    <w:rsid w:val="00756552"/>
    <w:rsid w:val="00756C2F"/>
    <w:rsid w:val="00759984"/>
    <w:rsid w:val="00760BCE"/>
    <w:rsid w:val="00764EB8"/>
    <w:rsid w:val="00772DE2"/>
    <w:rsid w:val="00772F1D"/>
    <w:rsid w:val="007736D4"/>
    <w:rsid w:val="00780746"/>
    <w:rsid w:val="00793841"/>
    <w:rsid w:val="00797DB5"/>
    <w:rsid w:val="007A11BA"/>
    <w:rsid w:val="007A1562"/>
    <w:rsid w:val="007A306D"/>
    <w:rsid w:val="007A3EEC"/>
    <w:rsid w:val="007C0FEB"/>
    <w:rsid w:val="007C6D9B"/>
    <w:rsid w:val="007D3FB1"/>
    <w:rsid w:val="007D6E1E"/>
    <w:rsid w:val="007F719A"/>
    <w:rsid w:val="00802DFE"/>
    <w:rsid w:val="00806FC9"/>
    <w:rsid w:val="00810ADE"/>
    <w:rsid w:val="008149C8"/>
    <w:rsid w:val="008202B5"/>
    <w:rsid w:val="00822959"/>
    <w:rsid w:val="008239FE"/>
    <w:rsid w:val="00834D6A"/>
    <w:rsid w:val="008351A9"/>
    <w:rsid w:val="00843FE9"/>
    <w:rsid w:val="008546AF"/>
    <w:rsid w:val="00881C18"/>
    <w:rsid w:val="00884AB0"/>
    <w:rsid w:val="00885147"/>
    <w:rsid w:val="008866F7"/>
    <w:rsid w:val="00895163"/>
    <w:rsid w:val="008970B2"/>
    <w:rsid w:val="008A6C0C"/>
    <w:rsid w:val="008C3B00"/>
    <w:rsid w:val="008C3CE9"/>
    <w:rsid w:val="008D1444"/>
    <w:rsid w:val="008D50C5"/>
    <w:rsid w:val="008D73A0"/>
    <w:rsid w:val="008E273A"/>
    <w:rsid w:val="008E36C2"/>
    <w:rsid w:val="008F0B80"/>
    <w:rsid w:val="008F5C2E"/>
    <w:rsid w:val="00904BA3"/>
    <w:rsid w:val="00905364"/>
    <w:rsid w:val="009062E9"/>
    <w:rsid w:val="00912C59"/>
    <w:rsid w:val="00913D63"/>
    <w:rsid w:val="00914E66"/>
    <w:rsid w:val="00927B6E"/>
    <w:rsid w:val="00933D35"/>
    <w:rsid w:val="009358F2"/>
    <w:rsid w:val="009371EC"/>
    <w:rsid w:val="009409B7"/>
    <w:rsid w:val="009457DA"/>
    <w:rsid w:val="009517B6"/>
    <w:rsid w:val="00954D8D"/>
    <w:rsid w:val="00957EDC"/>
    <w:rsid w:val="00963A22"/>
    <w:rsid w:val="009642D8"/>
    <w:rsid w:val="009668E2"/>
    <w:rsid w:val="009715B2"/>
    <w:rsid w:val="009738D8"/>
    <w:rsid w:val="00984B70"/>
    <w:rsid w:val="00985C1B"/>
    <w:rsid w:val="0099202D"/>
    <w:rsid w:val="009933FC"/>
    <w:rsid w:val="00995CDA"/>
    <w:rsid w:val="009A0107"/>
    <w:rsid w:val="009A18AD"/>
    <w:rsid w:val="009A50F2"/>
    <w:rsid w:val="009A741F"/>
    <w:rsid w:val="009B42DE"/>
    <w:rsid w:val="009B76C0"/>
    <w:rsid w:val="009C1606"/>
    <w:rsid w:val="009C3A95"/>
    <w:rsid w:val="009C4209"/>
    <w:rsid w:val="009D1428"/>
    <w:rsid w:val="009D19B9"/>
    <w:rsid w:val="009D2C5B"/>
    <w:rsid w:val="009D34F4"/>
    <w:rsid w:val="009D35A6"/>
    <w:rsid w:val="009D4FF5"/>
    <w:rsid w:val="009D65F7"/>
    <w:rsid w:val="009D74F7"/>
    <w:rsid w:val="009E0AD7"/>
    <w:rsid w:val="009E405D"/>
    <w:rsid w:val="009E5206"/>
    <w:rsid w:val="009E73E0"/>
    <w:rsid w:val="009F4491"/>
    <w:rsid w:val="009F6F27"/>
    <w:rsid w:val="00A12BE6"/>
    <w:rsid w:val="00A153E1"/>
    <w:rsid w:val="00A15A49"/>
    <w:rsid w:val="00A15E21"/>
    <w:rsid w:val="00A23B8C"/>
    <w:rsid w:val="00A24B6E"/>
    <w:rsid w:val="00A256C7"/>
    <w:rsid w:val="00A258EC"/>
    <w:rsid w:val="00A345A7"/>
    <w:rsid w:val="00A43B67"/>
    <w:rsid w:val="00A513E0"/>
    <w:rsid w:val="00A62622"/>
    <w:rsid w:val="00A70BE1"/>
    <w:rsid w:val="00A73EC8"/>
    <w:rsid w:val="00A80F92"/>
    <w:rsid w:val="00A918DD"/>
    <w:rsid w:val="00A95549"/>
    <w:rsid w:val="00AA389D"/>
    <w:rsid w:val="00AB3FDA"/>
    <w:rsid w:val="00AB4C53"/>
    <w:rsid w:val="00AC13FE"/>
    <w:rsid w:val="00AC5101"/>
    <w:rsid w:val="00AD29C9"/>
    <w:rsid w:val="00AD5D41"/>
    <w:rsid w:val="00AD7DC3"/>
    <w:rsid w:val="00AE7B41"/>
    <w:rsid w:val="00AF074F"/>
    <w:rsid w:val="00AF16E2"/>
    <w:rsid w:val="00AF4A17"/>
    <w:rsid w:val="00AF5D60"/>
    <w:rsid w:val="00AF6777"/>
    <w:rsid w:val="00B03287"/>
    <w:rsid w:val="00B06473"/>
    <w:rsid w:val="00B21089"/>
    <w:rsid w:val="00B26ED7"/>
    <w:rsid w:val="00B3400E"/>
    <w:rsid w:val="00B34014"/>
    <w:rsid w:val="00B34467"/>
    <w:rsid w:val="00B36F1F"/>
    <w:rsid w:val="00B37A00"/>
    <w:rsid w:val="00B37D62"/>
    <w:rsid w:val="00B40B68"/>
    <w:rsid w:val="00B4567D"/>
    <w:rsid w:val="00B46C53"/>
    <w:rsid w:val="00B53E3B"/>
    <w:rsid w:val="00B56F8C"/>
    <w:rsid w:val="00B574C4"/>
    <w:rsid w:val="00B606F7"/>
    <w:rsid w:val="00B61D14"/>
    <w:rsid w:val="00B62F79"/>
    <w:rsid w:val="00B65B3F"/>
    <w:rsid w:val="00B725F2"/>
    <w:rsid w:val="00B83026"/>
    <w:rsid w:val="00B85719"/>
    <w:rsid w:val="00B93535"/>
    <w:rsid w:val="00B93FEB"/>
    <w:rsid w:val="00B978E0"/>
    <w:rsid w:val="00BA3BC2"/>
    <w:rsid w:val="00BA68A2"/>
    <w:rsid w:val="00BA6E94"/>
    <w:rsid w:val="00BB681D"/>
    <w:rsid w:val="00BC09DE"/>
    <w:rsid w:val="00BC6268"/>
    <w:rsid w:val="00BD3D9C"/>
    <w:rsid w:val="00BD50A4"/>
    <w:rsid w:val="00BD6ABA"/>
    <w:rsid w:val="00BE3911"/>
    <w:rsid w:val="00BE60CB"/>
    <w:rsid w:val="00BF0E93"/>
    <w:rsid w:val="00C02E4A"/>
    <w:rsid w:val="00C17FE6"/>
    <w:rsid w:val="00C21D92"/>
    <w:rsid w:val="00C260BA"/>
    <w:rsid w:val="00C26CF9"/>
    <w:rsid w:val="00C3792F"/>
    <w:rsid w:val="00C44D56"/>
    <w:rsid w:val="00C53B14"/>
    <w:rsid w:val="00C54C1D"/>
    <w:rsid w:val="00C5765C"/>
    <w:rsid w:val="00C61A2F"/>
    <w:rsid w:val="00C6229C"/>
    <w:rsid w:val="00C6259B"/>
    <w:rsid w:val="00C655B7"/>
    <w:rsid w:val="00C6730A"/>
    <w:rsid w:val="00C71C16"/>
    <w:rsid w:val="00C72AF8"/>
    <w:rsid w:val="00C8052E"/>
    <w:rsid w:val="00C92A66"/>
    <w:rsid w:val="00C93423"/>
    <w:rsid w:val="00C9707F"/>
    <w:rsid w:val="00CA1B10"/>
    <w:rsid w:val="00CB0919"/>
    <w:rsid w:val="00CB2F7F"/>
    <w:rsid w:val="00CB5C73"/>
    <w:rsid w:val="00CC0D4C"/>
    <w:rsid w:val="00CC28F6"/>
    <w:rsid w:val="00CC7C04"/>
    <w:rsid w:val="00CD0335"/>
    <w:rsid w:val="00CD3F94"/>
    <w:rsid w:val="00CD645B"/>
    <w:rsid w:val="00CE156A"/>
    <w:rsid w:val="00CE3AA1"/>
    <w:rsid w:val="00CE3D37"/>
    <w:rsid w:val="00CF06C6"/>
    <w:rsid w:val="00CF0F4D"/>
    <w:rsid w:val="00D03A79"/>
    <w:rsid w:val="00D05B2E"/>
    <w:rsid w:val="00D05FEE"/>
    <w:rsid w:val="00D1080C"/>
    <w:rsid w:val="00D12F0D"/>
    <w:rsid w:val="00D202F3"/>
    <w:rsid w:val="00D322F7"/>
    <w:rsid w:val="00D32F16"/>
    <w:rsid w:val="00D367BB"/>
    <w:rsid w:val="00D4585F"/>
    <w:rsid w:val="00D552E9"/>
    <w:rsid w:val="00D5719D"/>
    <w:rsid w:val="00D629E9"/>
    <w:rsid w:val="00D6541C"/>
    <w:rsid w:val="00D67A9E"/>
    <w:rsid w:val="00D70DFA"/>
    <w:rsid w:val="00D87097"/>
    <w:rsid w:val="00D9060B"/>
    <w:rsid w:val="00D91A57"/>
    <w:rsid w:val="00DA0B66"/>
    <w:rsid w:val="00DA1D19"/>
    <w:rsid w:val="00DA35CA"/>
    <w:rsid w:val="00DA4E5C"/>
    <w:rsid w:val="00DA549F"/>
    <w:rsid w:val="00DB285C"/>
    <w:rsid w:val="00DB2AB4"/>
    <w:rsid w:val="00DB3CAF"/>
    <w:rsid w:val="00DB67AD"/>
    <w:rsid w:val="00DC13C1"/>
    <w:rsid w:val="00DC1DD9"/>
    <w:rsid w:val="00DC3A11"/>
    <w:rsid w:val="00DC474F"/>
    <w:rsid w:val="00DD6AE8"/>
    <w:rsid w:val="00DE14E1"/>
    <w:rsid w:val="00DE4FAF"/>
    <w:rsid w:val="00DF4AAE"/>
    <w:rsid w:val="00E003DC"/>
    <w:rsid w:val="00E21785"/>
    <w:rsid w:val="00E24D07"/>
    <w:rsid w:val="00E24D94"/>
    <w:rsid w:val="00E2511D"/>
    <w:rsid w:val="00E300B7"/>
    <w:rsid w:val="00E3425E"/>
    <w:rsid w:val="00E34B39"/>
    <w:rsid w:val="00E353D2"/>
    <w:rsid w:val="00E3B745"/>
    <w:rsid w:val="00E41E7B"/>
    <w:rsid w:val="00E43A63"/>
    <w:rsid w:val="00E47154"/>
    <w:rsid w:val="00E50002"/>
    <w:rsid w:val="00E523CF"/>
    <w:rsid w:val="00E675BA"/>
    <w:rsid w:val="00E75031"/>
    <w:rsid w:val="00E75EC1"/>
    <w:rsid w:val="00E819F8"/>
    <w:rsid w:val="00E82271"/>
    <w:rsid w:val="00E85BDF"/>
    <w:rsid w:val="00E909F9"/>
    <w:rsid w:val="00E91AE7"/>
    <w:rsid w:val="00E93EBB"/>
    <w:rsid w:val="00EA1830"/>
    <w:rsid w:val="00EA1BE5"/>
    <w:rsid w:val="00EA4E04"/>
    <w:rsid w:val="00EA6370"/>
    <w:rsid w:val="00EA7152"/>
    <w:rsid w:val="00EB7489"/>
    <w:rsid w:val="00EB782B"/>
    <w:rsid w:val="00EC1332"/>
    <w:rsid w:val="00EC18B7"/>
    <w:rsid w:val="00ED11C2"/>
    <w:rsid w:val="00ED3EC4"/>
    <w:rsid w:val="00EF290E"/>
    <w:rsid w:val="00EF2C40"/>
    <w:rsid w:val="00EF49F3"/>
    <w:rsid w:val="00F03F49"/>
    <w:rsid w:val="00F0487A"/>
    <w:rsid w:val="00F052DB"/>
    <w:rsid w:val="00F119D1"/>
    <w:rsid w:val="00F119F9"/>
    <w:rsid w:val="00F11E1B"/>
    <w:rsid w:val="00F21DB2"/>
    <w:rsid w:val="00F2695E"/>
    <w:rsid w:val="00F32882"/>
    <w:rsid w:val="00F346C3"/>
    <w:rsid w:val="00F451AC"/>
    <w:rsid w:val="00F47079"/>
    <w:rsid w:val="00F478D1"/>
    <w:rsid w:val="00F513F8"/>
    <w:rsid w:val="00F62451"/>
    <w:rsid w:val="00F67746"/>
    <w:rsid w:val="00F70AB6"/>
    <w:rsid w:val="00F70B3F"/>
    <w:rsid w:val="00F71560"/>
    <w:rsid w:val="00F71B6F"/>
    <w:rsid w:val="00F723FF"/>
    <w:rsid w:val="00F7416E"/>
    <w:rsid w:val="00F74A49"/>
    <w:rsid w:val="00F82B1B"/>
    <w:rsid w:val="00F86DA4"/>
    <w:rsid w:val="00F92F9B"/>
    <w:rsid w:val="00F93418"/>
    <w:rsid w:val="00F941B5"/>
    <w:rsid w:val="00F97DE4"/>
    <w:rsid w:val="00FA173C"/>
    <w:rsid w:val="00FA2D63"/>
    <w:rsid w:val="00FA39D6"/>
    <w:rsid w:val="00FB1C63"/>
    <w:rsid w:val="00FC420D"/>
    <w:rsid w:val="00FC6DF2"/>
    <w:rsid w:val="00FD649E"/>
    <w:rsid w:val="00FF09A4"/>
    <w:rsid w:val="00FF54CD"/>
    <w:rsid w:val="01BD1991"/>
    <w:rsid w:val="038DA12E"/>
    <w:rsid w:val="069057E3"/>
    <w:rsid w:val="073FBB5F"/>
    <w:rsid w:val="0752F8C9"/>
    <w:rsid w:val="078C3A32"/>
    <w:rsid w:val="07AB563D"/>
    <w:rsid w:val="0AE667C6"/>
    <w:rsid w:val="0AE88606"/>
    <w:rsid w:val="0B300D4A"/>
    <w:rsid w:val="0BA533DD"/>
    <w:rsid w:val="0C4521EF"/>
    <w:rsid w:val="0D9F2D27"/>
    <w:rsid w:val="0EDCD49F"/>
    <w:rsid w:val="0FAC825E"/>
    <w:rsid w:val="122916D4"/>
    <w:rsid w:val="133FB25A"/>
    <w:rsid w:val="14D3304B"/>
    <w:rsid w:val="14E0FCB2"/>
    <w:rsid w:val="14FFD3E2"/>
    <w:rsid w:val="15ECCDC6"/>
    <w:rsid w:val="165EC237"/>
    <w:rsid w:val="1707FF0F"/>
    <w:rsid w:val="17196C99"/>
    <w:rsid w:val="17CEF694"/>
    <w:rsid w:val="189A1C03"/>
    <w:rsid w:val="196AC6F5"/>
    <w:rsid w:val="1A7EACED"/>
    <w:rsid w:val="1AC03EE9"/>
    <w:rsid w:val="1C702BF4"/>
    <w:rsid w:val="1D699C67"/>
    <w:rsid w:val="2044A71F"/>
    <w:rsid w:val="2140896E"/>
    <w:rsid w:val="22E8A710"/>
    <w:rsid w:val="2588ABED"/>
    <w:rsid w:val="263021A0"/>
    <w:rsid w:val="265DB739"/>
    <w:rsid w:val="26FA1934"/>
    <w:rsid w:val="280141F3"/>
    <w:rsid w:val="2A338AEE"/>
    <w:rsid w:val="2C9F6324"/>
    <w:rsid w:val="31F341A7"/>
    <w:rsid w:val="3208AABF"/>
    <w:rsid w:val="328779F0"/>
    <w:rsid w:val="33E93F81"/>
    <w:rsid w:val="34CF969C"/>
    <w:rsid w:val="3550EF23"/>
    <w:rsid w:val="38013D0D"/>
    <w:rsid w:val="3877EC43"/>
    <w:rsid w:val="38E750FE"/>
    <w:rsid w:val="393EE3CD"/>
    <w:rsid w:val="3A5880C2"/>
    <w:rsid w:val="3B18ED82"/>
    <w:rsid w:val="3B7ACEC7"/>
    <w:rsid w:val="3BAF8D05"/>
    <w:rsid w:val="3BF77B81"/>
    <w:rsid w:val="3C3A4431"/>
    <w:rsid w:val="3CA6DC6C"/>
    <w:rsid w:val="3D7D4198"/>
    <w:rsid w:val="3DA949E1"/>
    <w:rsid w:val="3F233665"/>
    <w:rsid w:val="425BC72A"/>
    <w:rsid w:val="426C2271"/>
    <w:rsid w:val="44929F75"/>
    <w:rsid w:val="44AE61DD"/>
    <w:rsid w:val="44F5510A"/>
    <w:rsid w:val="45D0508A"/>
    <w:rsid w:val="47E6029F"/>
    <w:rsid w:val="485BB060"/>
    <w:rsid w:val="4968AAA3"/>
    <w:rsid w:val="4B7A2E5E"/>
    <w:rsid w:val="4FE19F5D"/>
    <w:rsid w:val="506B8D3B"/>
    <w:rsid w:val="53EF85FD"/>
    <w:rsid w:val="551698E0"/>
    <w:rsid w:val="55B944B9"/>
    <w:rsid w:val="5620E061"/>
    <w:rsid w:val="588C1B7E"/>
    <w:rsid w:val="59B3EB8E"/>
    <w:rsid w:val="5C1C10C3"/>
    <w:rsid w:val="5D5FDEA1"/>
    <w:rsid w:val="5E081E9D"/>
    <w:rsid w:val="5E1CC65C"/>
    <w:rsid w:val="5E6B0389"/>
    <w:rsid w:val="5EDE8AF2"/>
    <w:rsid w:val="5FC99711"/>
    <w:rsid w:val="607A5B53"/>
    <w:rsid w:val="6128C211"/>
    <w:rsid w:val="6191CDD8"/>
    <w:rsid w:val="650E32B8"/>
    <w:rsid w:val="651818BF"/>
    <w:rsid w:val="67BAB6EF"/>
    <w:rsid w:val="67E4B57C"/>
    <w:rsid w:val="67F1FF38"/>
    <w:rsid w:val="6A7D3BCF"/>
    <w:rsid w:val="6D824FAC"/>
    <w:rsid w:val="6EACC314"/>
    <w:rsid w:val="7135FD74"/>
    <w:rsid w:val="71D38D63"/>
    <w:rsid w:val="741E5C99"/>
    <w:rsid w:val="748992B7"/>
    <w:rsid w:val="76454910"/>
    <w:rsid w:val="76E0A8F9"/>
    <w:rsid w:val="7B317DA6"/>
    <w:rsid w:val="7BF51B31"/>
    <w:rsid w:val="7CD42FD2"/>
    <w:rsid w:val="7EACF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64E9F"/>
  <w15:docId w15:val="{7B80AACE-F536-4B0C-9C2F-C5DB2BF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F8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70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707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F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C9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C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C1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C1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2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455E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0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06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9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7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AEEA-D2D5-41A0-94DF-6DC15DFC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Przybyło Szymon</cp:lastModifiedBy>
  <cp:revision>1</cp:revision>
  <cp:lastPrinted>2016-09-30T06:54:00Z</cp:lastPrinted>
  <dcterms:created xsi:type="dcterms:W3CDTF">2022-08-12T12:01:00Z</dcterms:created>
  <dcterms:modified xsi:type="dcterms:W3CDTF">2022-08-12T12:01:00Z</dcterms:modified>
</cp:coreProperties>
</file>